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全自动微生物质谱监测系统采购项目</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JSZC-320412-CTZB-G2025-0268</w:t>
      </w:r>
      <w:r>
        <w:rPr>
          <w:rFonts w:ascii="宋体" w:hAnsi="宋体"/>
          <w:bCs/>
          <w:color w:val="000000"/>
          <w:sz w:val="36"/>
          <w:szCs w:val="36"/>
          <w:highlight w:val="none"/>
        </w:rPr>
        <w:tab/>
      </w:r>
      <w:r>
        <w:rPr>
          <w:rFonts w:hint="eastAsia"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bCs/>
          <w:color w:val="000000"/>
          <w:sz w:val="36"/>
          <w:szCs w:val="36"/>
          <w:highlight w:val="none"/>
        </w:rPr>
        <w:t xml:space="preserve">常州市武进区疾病预防控制中心</w:t>
      </w:r>
      <w:r>
        <w:rPr>
          <w:rFonts w:hint="eastAsia"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3"/>
      <w:r/>
      <w:bookmarkStart w:id="3" w:name="_Hlt100754102"/>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37</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rFonts w:hint="eastAsia"/>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color w:val="000000"/>
          <w:sz w:val="32"/>
          <w:szCs w:val="32"/>
          <w:highlight w:val="none"/>
        </w:rPr>
        <w:tab/>
      </w:r>
      <w:r>
        <w:rPr>
          <w:rFonts w:hint="eastAsia"/>
          <w:color w:val="000000"/>
          <w:sz w:val="32"/>
          <w:szCs w:val="32"/>
          <w:highlight w:val="none"/>
        </w:rPr>
        <w:t xml:space="preserve">4</w:t>
      </w:r>
      <w:r>
        <w:rPr>
          <w:color w:val="000000"/>
          <w:sz w:val="32"/>
          <w:szCs w:val="32"/>
          <w:highlight w:val="none"/>
        </w:rPr>
        <w:fldChar w:fldCharType="end"/>
      </w:r>
      <w:r>
        <w:rPr>
          <w:rFonts w:hint="eastAsia"/>
          <w:color w:val="000000"/>
          <w:sz w:val="32"/>
          <w:szCs w:val="32"/>
          <w:highlight w:val="none"/>
        </w:rPr>
        <w:t xml:space="preserve">2</w:t>
      </w:r>
      <w:r>
        <w:rPr>
          <w:rFonts w:hint="eastAsia"/>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常州市武进区疾病预防控制中心全自动微生物质谱监测系统采购项目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2025年</w:t>
      </w:r>
      <w:r>
        <w:rPr>
          <w:rFonts w:hint="eastAsia" w:ascii="仿宋" w:hAnsi="仿宋" w:eastAsia="仿宋"/>
          <w:b/>
          <w:bCs/>
          <w:color w:val="000000"/>
          <w:sz w:val="32"/>
          <w:szCs w:val="32"/>
          <w:highlight w:val="none"/>
          <w:lang w:val="en-US" w:eastAsia="zh-CN"/>
        </w:rPr>
        <w:t xml:space="preserve">12</w:t>
      </w:r>
      <w:r>
        <w:rPr>
          <w:rFonts w:hint="eastAsia" w:ascii="仿宋" w:hAnsi="仿宋" w:eastAsia="仿宋"/>
          <w:b/>
          <w:bCs/>
          <w:color w:val="000000"/>
          <w:sz w:val="32"/>
          <w:szCs w:val="32"/>
          <w:highlight w:val="none"/>
        </w:rPr>
        <w:t xml:space="preserve">月</w:t>
      </w:r>
      <w:r>
        <w:rPr>
          <w:rFonts w:hint="eastAsia" w:ascii="仿宋" w:hAnsi="仿宋" w:eastAsia="仿宋"/>
          <w:b/>
          <w:bCs/>
          <w:color w:val="000000"/>
          <w:sz w:val="32"/>
          <w:szCs w:val="32"/>
          <w:highlight w:val="none"/>
          <w:lang w:val="en-US" w:eastAsia="zh-CN"/>
        </w:rPr>
        <w:t xml:space="preserve">16</w:t>
      </w:r>
      <w:r>
        <w:rPr>
          <w:rFonts w:hint="eastAsia" w:ascii="仿宋" w:hAnsi="仿宋" w:eastAsia="仿宋"/>
          <w:b/>
          <w:bCs/>
          <w:color w:val="000000"/>
          <w:sz w:val="32"/>
          <w:szCs w:val="32"/>
          <w:highlight w:val="none"/>
        </w:rPr>
        <w:t xml:space="preserve">日</w:t>
      </w:r>
      <w:r>
        <w:rPr>
          <w:rFonts w:hint="eastAsia" w:ascii="仿宋" w:hAnsi="仿宋" w:eastAsia="仿宋"/>
          <w:b/>
          <w:bCs/>
          <w:color w:val="000000"/>
          <w:sz w:val="32"/>
          <w:szCs w:val="32"/>
          <w:highlight w:val="none"/>
          <w:lang w:val="en-US" w:eastAsia="zh-CN"/>
        </w:rPr>
        <w:t xml:space="preserve">14</w:t>
      </w:r>
      <w:r>
        <w:rPr>
          <w:rFonts w:hint="eastAsia" w:ascii="仿宋" w:hAnsi="仿宋" w:eastAsia="仿宋"/>
          <w:b/>
          <w:bCs/>
          <w:color w:val="000000"/>
          <w:sz w:val="32"/>
          <w:szCs w:val="32"/>
          <w:highlight w:val="none"/>
        </w:rPr>
        <w:t xml:space="preserve">点</w:t>
      </w:r>
      <w:r>
        <w:rPr>
          <w:rFonts w:hint="eastAsia" w:ascii="仿宋" w:hAnsi="仿宋" w:eastAsia="仿宋"/>
          <w:b/>
          <w:bCs/>
          <w:color w:val="000000"/>
          <w:sz w:val="32"/>
          <w:szCs w:val="32"/>
          <w:highlight w:val="none"/>
          <w:lang w:val="en-US" w:eastAsia="zh-CN"/>
        </w:rPr>
        <w:t xml:space="preserve">0</w:t>
      </w:r>
      <w:r>
        <w:rPr>
          <w:rFonts w:hint="eastAsia" w:ascii="仿宋" w:hAnsi="仿宋" w:eastAsia="仿宋"/>
          <w:b/>
          <w:bCs/>
          <w:color w:val="000000"/>
          <w:sz w:val="32"/>
          <w:szCs w:val="32"/>
          <w:highlight w:val="none"/>
          <w:lang w:val="en-US" w:eastAsia="zh-CN"/>
        </w:rPr>
        <w:t xml:space="preserve">0</w:t>
      </w:r>
      <w:r>
        <w:rPr>
          <w:rFonts w:hint="eastAsia" w:ascii="仿宋" w:hAnsi="仿宋" w:eastAsia="仿宋"/>
          <w:b/>
          <w:bCs/>
          <w:color w:val="000000"/>
          <w:sz w:val="32"/>
          <w:szCs w:val="32"/>
          <w:highlight w:val="none"/>
        </w:rPr>
        <w:t xml:space="preserve">分</w:t>
      </w:r>
      <w:r>
        <w:rPr>
          <w:rFonts w:hint="eastAsia" w:ascii="仿宋" w:hAnsi="仿宋" w:eastAsia="仿宋" w:cs="宋体"/>
          <w:b/>
          <w:bCs/>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621"/>
      <w:r/>
      <w:bookmarkStart w:id="7" w:name="_Toc28359002"/>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JSZC-320412-CTZB-G2025-0268</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常州市武进区疾病预防控制中心全自动微生物质谱监测系统采购项目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人民币</w:t>
      </w:r>
      <w:r>
        <w:rPr>
          <w:rFonts w:ascii="仿宋" w:hAnsi="仿宋" w:eastAsia="仿宋"/>
          <w:color w:val="000000"/>
          <w:sz w:val="32"/>
          <w:szCs w:val="32"/>
          <w:highlight w:val="none"/>
        </w:rPr>
        <w:t xml:space="preserve">180</w:t>
      </w:r>
      <w:r>
        <w:rPr>
          <w:rFonts w:hint="eastAsia"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人民币</w:t>
      </w:r>
      <w:r>
        <w:rPr>
          <w:rFonts w:ascii="仿宋" w:hAnsi="仿宋" w:eastAsia="仿宋"/>
          <w:color w:val="000000"/>
          <w:sz w:val="32"/>
          <w:szCs w:val="32"/>
          <w:highlight w:val="none"/>
        </w:rPr>
        <w:t xml:space="preserve">180</w:t>
      </w:r>
      <w:r>
        <w:rPr>
          <w:rFonts w:hint="eastAsia"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全自动微生物质谱监测系统</w:t>
            </w:r>
            <w:r>
              <w:rPr>
                <w:rFonts w:hint="eastAsia"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180</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hint="eastAsia" w:ascii="仿宋" w:hAnsi="仿宋" w:eastAsia="仿宋"/>
                <w:bCs/>
                <w:color w:val="000000"/>
                <w:sz w:val="32"/>
                <w:szCs w:val="32"/>
                <w:highlight w:val="none"/>
              </w:rPr>
            </w:r>
            <w:r/>
          </w:p>
        </w:tc>
        <w:tc>
          <w:tcPr>
            <w:tcW w:w="2315" w:type="dxa"/>
            <w:vAlign w:val="center"/>
            <w:textDirection w:val="lrTb"/>
            <w:noWrap w:val="false"/>
          </w:tcPr>
          <w:p>
            <w:pPr>
              <w:pStyle w:val="1070"/>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合同履行期限：合同签订后60天内完成合同范围内所有设备的供货、安装调试。 </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80"/>
      <w:r/>
      <w:bookmarkStart w:id="12" w:name="_Toc35393791"/>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3"/>
        <w:spacing w:line="600" w:lineRule="exact"/>
        <w:rPr>
          <w:rFonts w:hint="eastAsia" w:ascii="仿宋" w:hAnsi="仿宋" w:eastAsia="仿宋"/>
          <w:b/>
          <w:bCs/>
          <w:color w:val="000000"/>
          <w:sz w:val="32"/>
          <w:szCs w:val="32"/>
          <w:highlight w:val="none"/>
          <w:lang w:val="en-US" w:eastAsia="zh-CN"/>
        </w:rPr>
      </w:pPr>
      <w:r>
        <w:rPr>
          <w:rFonts w:ascii="仿宋" w:hAnsi="仿宋" w:eastAsia="仿宋"/>
          <w:b/>
          <w:bCs/>
          <w:color w:val="000000"/>
          <w:sz w:val="32"/>
          <w:szCs w:val="32"/>
          <w:highlight w:val="none"/>
        </w:rPr>
        <w:t xml:space="preserve">3.3其他特定资格要求：</w:t>
      </w:r>
      <w:r>
        <w:rPr>
          <w:rFonts w:hint="eastAsia" w:ascii="仿宋" w:hAnsi="仿宋" w:eastAsia="仿宋"/>
          <w:b/>
          <w:bCs/>
          <w:color w:val="000000"/>
          <w:sz w:val="32"/>
          <w:szCs w:val="32"/>
          <w:highlight w:val="none"/>
          <w:lang w:val="en-US" w:eastAsia="zh-CN"/>
        </w:rPr>
        <w:t xml:space="preserve">无</w:t>
      </w:r>
      <w:r>
        <w:rPr>
          <w:rFonts w:hint="eastAsia" w:ascii="仿宋" w:hAnsi="仿宋" w:eastAsia="仿宋"/>
          <w:b/>
          <w:bCs/>
          <w:color w:val="000000"/>
          <w:sz w:val="32"/>
          <w:szCs w:val="32"/>
          <w:highlight w:val="none"/>
          <w:lang w:val="en-US" w:eastAsia="zh-CN"/>
        </w:rPr>
      </w:r>
      <w:r/>
    </w:p>
    <w:p>
      <w:pPr>
        <w:pStyle w:val="1072"/>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t xml:space="preserve"> </w:t>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2025年</w:t>
      </w:r>
      <w:r>
        <w:rPr>
          <w:rFonts w:hint="eastAsia" w:ascii="仿宋" w:hAnsi="仿宋" w:eastAsia="仿宋"/>
          <w:color w:val="000000"/>
          <w:sz w:val="32"/>
          <w:szCs w:val="32"/>
          <w:highlight w:val="none"/>
          <w:lang w:val="en-US" w:eastAsia="zh-CN" w:bidi="ar"/>
        </w:rPr>
        <w:t xml:space="preserve">10</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至2025年</w:t>
      </w:r>
      <w:r>
        <w:rPr>
          <w:rFonts w:hint="eastAsia" w:ascii="仿宋" w:hAnsi="仿宋" w:eastAsia="仿宋"/>
          <w:color w:val="000000"/>
          <w:sz w:val="32"/>
          <w:szCs w:val="32"/>
          <w:highlight w:val="none"/>
          <w:lang w:val="en-US" w:eastAsia="zh-CN" w:bidi="ar"/>
        </w:rPr>
        <w:t xml:space="preserve">11</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05</w:t>
      </w:r>
      <w:r>
        <w:rPr>
          <w:rFonts w:hint="eastAsia" w:ascii="仿宋" w:hAnsi="仿宋" w:eastAsia="仿宋" w:cs="宋体"/>
          <w:color w:val="000000"/>
          <w:sz w:val="32"/>
          <w:szCs w:val="32"/>
          <w:highlight w:val="none"/>
        </w:rPr>
        <w:t xml:space="preserve">日</w:t>
      </w:r>
      <w:r>
        <w:rPr>
          <w:rFonts w:hint="eastAsia" w:ascii="仿宋" w:hAnsi="仿宋" w:eastAsia="仿宋" w:cs="宋体"/>
          <w:color w:val="000000"/>
          <w:sz w:val="32"/>
          <w:szCs w:val="32"/>
          <w:highlight w:val="none"/>
        </w:rPr>
        <w:t xml:space="preserve">（北京时间）</w:t>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bidi="ar"/>
        </w:rPr>
        <w:t xml:space="preserve">2025年</w:t>
      </w:r>
      <w:r>
        <w:rPr>
          <w:rFonts w:hint="eastAsia" w:ascii="仿宋" w:hAnsi="仿宋" w:eastAsia="仿宋"/>
          <w:b/>
          <w:bCs/>
          <w:color w:val="000000"/>
          <w:sz w:val="32"/>
          <w:szCs w:val="32"/>
          <w:highlight w:val="none"/>
          <w:lang w:val="en-US" w:eastAsia="zh-CN" w:bidi="ar"/>
        </w:rPr>
        <w:t xml:space="preserve">12</w:t>
      </w:r>
      <w:r>
        <w:rPr>
          <w:rFonts w:hint="eastAsia" w:ascii="仿宋" w:hAnsi="仿宋" w:eastAsia="仿宋"/>
          <w:b/>
          <w:bCs/>
          <w:color w:val="000000"/>
          <w:sz w:val="32"/>
          <w:szCs w:val="32"/>
          <w:highlight w:val="none"/>
          <w:lang w:bidi="ar"/>
        </w:rPr>
        <w:t xml:space="preserve">月</w:t>
      </w:r>
      <w:r>
        <w:rPr>
          <w:rFonts w:hint="eastAsia" w:ascii="仿宋" w:hAnsi="仿宋" w:eastAsia="仿宋"/>
          <w:b/>
          <w:bCs/>
          <w:color w:val="000000"/>
          <w:sz w:val="32"/>
          <w:szCs w:val="32"/>
          <w:highlight w:val="none"/>
          <w:lang w:val="en-US" w:eastAsia="zh-CN" w:bidi="ar"/>
        </w:rPr>
        <w:t xml:space="preserve">16</w:t>
      </w:r>
      <w:r>
        <w:rPr>
          <w:rFonts w:hint="eastAsia" w:ascii="仿宋" w:hAnsi="仿宋" w:eastAsia="仿宋"/>
          <w:b/>
          <w:bCs/>
          <w:color w:val="000000"/>
          <w:sz w:val="32"/>
          <w:szCs w:val="32"/>
          <w:highlight w:val="none"/>
          <w:lang w:bidi="ar"/>
        </w:rPr>
        <w:t xml:space="preserve">日</w:t>
      </w:r>
      <w:r>
        <w:rPr>
          <w:rFonts w:hint="eastAsia" w:ascii="仿宋" w:hAnsi="仿宋" w:eastAsia="仿宋"/>
          <w:b/>
          <w:bCs/>
          <w:color w:val="000000"/>
          <w:sz w:val="32"/>
          <w:szCs w:val="32"/>
          <w:highlight w:val="none"/>
          <w:lang w:val="en-US" w:eastAsia="zh-CN" w:bidi="ar"/>
        </w:rPr>
        <w:t xml:space="preserve">14</w:t>
      </w:r>
      <w:r>
        <w:rPr>
          <w:rFonts w:hint="eastAsia" w:ascii="仿宋" w:hAnsi="仿宋" w:eastAsia="仿宋"/>
          <w:b/>
          <w:bCs/>
          <w:color w:val="000000"/>
          <w:sz w:val="32"/>
          <w:szCs w:val="32"/>
          <w:highlight w:val="none"/>
          <w:lang w:bidi="ar"/>
        </w:rPr>
        <w:t xml:space="preserve">点</w:t>
      </w:r>
      <w:r>
        <w:rPr>
          <w:rFonts w:hint="eastAsia" w:ascii="仿宋" w:hAnsi="仿宋" w:eastAsia="仿宋"/>
          <w:b/>
          <w:bCs/>
          <w:color w:val="000000"/>
          <w:sz w:val="32"/>
          <w:szCs w:val="32"/>
          <w:highlight w:val="none"/>
          <w:lang w:val="en-US" w:eastAsia="zh-CN" w:bidi="ar"/>
        </w:rPr>
        <w:t xml:space="preserve">0</w:t>
      </w:r>
      <w:r>
        <w:rPr>
          <w:rFonts w:hint="eastAsia" w:ascii="仿宋" w:hAnsi="仿宋" w:eastAsia="仿宋"/>
          <w:b/>
          <w:bCs/>
          <w:color w:val="000000"/>
          <w:sz w:val="32"/>
          <w:szCs w:val="32"/>
          <w:highlight w:val="none"/>
          <w:lang w:val="en-US" w:eastAsia="zh-CN" w:bidi="ar"/>
        </w:rPr>
        <w:t xml:space="preserve">0</w:t>
      </w:r>
      <w:r>
        <w:rPr>
          <w:rFonts w:hint="eastAsia" w:ascii="仿宋" w:hAnsi="仿宋" w:eastAsia="仿宋"/>
          <w:b/>
          <w:bCs/>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79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28359085"/>
      <w:r/>
      <w:bookmarkStart w:id="29" w:name="_Toc28359008"/>
      <w:r/>
      <w:bookmarkStart w:id="30" w:name="_Toc35393627"/>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1.采购人信息</w:t>
      </w:r>
      <w:r>
        <w:rPr>
          <w:rFonts w:hint="eastAsia" w:ascii="仿宋" w:hAnsi="仿宋" w:eastAsia="仿宋"/>
          <w:b/>
          <w:bCs/>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名    称：常州市武进区疾病预防控制中心</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地    址：常州市武进区湖塘镇府南路2号</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联系方式：冯女士 0519-89856918</w:t>
      </w:r>
      <w:r>
        <w:rPr>
          <w:rFonts w:hint="eastAsia" w:ascii="仿宋" w:hAnsi="仿宋" w:eastAsia="仿宋"/>
          <w:color w:val="000000"/>
          <w:sz w:val="32"/>
          <w:szCs w:val="32"/>
          <w:highlight w:val="none"/>
          <w:lang w:bidi="ar"/>
        </w:rPr>
      </w:r>
      <w:r/>
    </w:p>
    <w:p>
      <w:pPr>
        <w:pStyle w:val="1070"/>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2.采购代理机构信息</w:t>
      </w:r>
      <w:r>
        <w:rPr>
          <w:rFonts w:hint="eastAsia" w:ascii="仿宋" w:hAnsi="仿宋" w:eastAsia="仿宋"/>
          <w:b/>
          <w:bCs/>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名    称：常州市城投建设工程招标有限公司</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地  址：常州市新北区通江中路396号中创大厦4楼</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联系方式：0519-81580101</w:t>
      </w:r>
      <w:r>
        <w:rPr>
          <w:rFonts w:hint="eastAsia" w:ascii="仿宋" w:hAnsi="仿宋" w:eastAsia="仿宋"/>
          <w:color w:val="000000"/>
          <w:sz w:val="32"/>
          <w:szCs w:val="32"/>
          <w:highlight w:val="none"/>
          <w:lang w:bidi="ar"/>
        </w:rPr>
      </w:r>
      <w:r/>
    </w:p>
    <w:p>
      <w:pPr>
        <w:pStyle w:val="1070"/>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3.项目联系方式</w:t>
      </w:r>
      <w:r>
        <w:rPr>
          <w:rFonts w:hint="eastAsia" w:ascii="仿宋" w:hAnsi="仿宋" w:eastAsia="仿宋"/>
          <w:b/>
          <w:bCs/>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项目联系人：彭艳、王逸菲</w:t>
      </w:r>
      <w:r>
        <w:rPr>
          <w:rFonts w:hint="eastAsia" w:ascii="仿宋" w:hAnsi="仿宋" w:eastAsia="仿宋"/>
          <w:color w:val="000000"/>
          <w:sz w:val="32"/>
          <w:szCs w:val="32"/>
          <w:highlight w:val="none"/>
          <w:lang w:bidi="ar"/>
        </w:rPr>
      </w:r>
      <w:r/>
    </w:p>
    <w:p>
      <w:pPr>
        <w:pStyle w:val="1070"/>
        <w:ind w:firstLine="640"/>
        <w:jc w:val="left"/>
        <w:spacing w:line="360" w:lineRule="auto"/>
        <w:rPr>
          <w:rFonts w:ascii="宋体" w:hAnsi="宋体"/>
          <w:b/>
          <w:color w:val="000000"/>
          <w:sz w:val="32"/>
          <w:szCs w:val="32"/>
          <w:highlight w:val="none"/>
        </w:rPr>
      </w:pPr>
      <w:r>
        <w:rPr>
          <w:rFonts w:hint="eastAsia" w:ascii="仿宋" w:hAnsi="仿宋" w:eastAsia="仿宋"/>
          <w:color w:val="000000"/>
          <w:sz w:val="32"/>
          <w:szCs w:val="32"/>
          <w:highlight w:val="none"/>
          <w:lang w:bidi="ar"/>
        </w:rPr>
        <w:t xml:space="preserve">电    话：0519-81580152  81580191  81580192（转分机号6034）</w:t>
      </w:r>
      <w:r>
        <w:rPr>
          <w:rFonts w:hint="eastAsia" w:ascii="仿宋" w:hAnsi="仿宋" w:eastAsia="仿宋"/>
          <w:color w:val="000000"/>
          <w:sz w:val="32"/>
          <w:szCs w:val="32"/>
          <w:highlight w:val="none"/>
          <w:lang w:bidi="ar"/>
        </w:rPr>
        <w:br w:type="page" w:clear="all"/>
      </w:r>
      <w:bookmarkStart w:id="32" w:name="_Toc512937850"/>
      <w:r/>
      <w:bookmarkStart w:id="33" w:name="_Toc226965856"/>
      <w:r/>
      <w:bookmarkStart w:id="34" w:name="_Toc195842950"/>
      <w:r/>
      <w:bookmarkStart w:id="35" w:name="_Toc265228423"/>
      <w:r/>
      <w:bookmarkStart w:id="36" w:name="_Toc305158854"/>
      <w:r/>
      <w:bookmarkStart w:id="37" w:name="_Toc353825548"/>
      <w:r/>
      <w:bookmarkStart w:id="38" w:name="_Toc99301420"/>
      <w:r/>
      <w:bookmarkStart w:id="39" w:name="_Toc127151777"/>
      <w:r/>
      <w:bookmarkStart w:id="40" w:name="_Toc353873938"/>
      <w:r/>
      <w:bookmarkStart w:id="41" w:name="_Toc264969275"/>
      <w:r/>
      <w:bookmarkStart w:id="42" w:name="_Toc127161488"/>
      <w:r/>
      <w:bookmarkStart w:id="43" w:name="_Toc150774783"/>
      <w:r/>
      <w:bookmarkStart w:id="44" w:name="_Toc305158928"/>
      <w:r>
        <w:rPr>
          <w:rFonts w:ascii="宋体" w:hAnsi="宋体"/>
          <w:b/>
          <w:color w:val="000000"/>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5" w:name="_Toc151193833"/>
      <w:r/>
      <w:bookmarkStart w:id="46" w:name="_Toc127161433"/>
      <w:r/>
      <w:bookmarkStart w:id="47" w:name="_Toc164608633"/>
      <w:r/>
      <w:bookmarkStart w:id="48" w:name="_Toc151193689"/>
      <w:r/>
      <w:bookmarkStart w:id="49" w:name="_Toc151193617"/>
      <w:r/>
      <w:bookmarkStart w:id="50" w:name="_Toc226309763"/>
      <w:r/>
      <w:bookmarkStart w:id="51" w:name="_Toc150774619"/>
      <w:r/>
      <w:bookmarkStart w:id="52" w:name="_Toc164229214"/>
      <w:r/>
      <w:bookmarkStart w:id="53" w:name="_Toc127151720"/>
      <w:r/>
      <w:bookmarkStart w:id="54" w:name="_Toc127151519"/>
      <w:r/>
      <w:bookmarkStart w:id="55" w:name="_Toc520356144"/>
      <w:r/>
      <w:bookmarkStart w:id="56" w:name="_Toc164229360"/>
      <w:r/>
      <w:bookmarkStart w:id="57" w:name="_Toc150774724"/>
      <w:r/>
      <w:bookmarkStart w:id="58" w:name="_Toc226965709"/>
      <w:r/>
      <w:bookmarkStart w:id="59" w:name="_Toc164608788"/>
      <w:r/>
      <w:bookmarkStart w:id="60" w:name="_Toc151193907"/>
      <w:r/>
      <w:bookmarkStart w:id="61" w:name="_Toc151190146"/>
      <w:r/>
      <w:bookmarkStart w:id="62" w:name="_Toc151193761"/>
      <w:r/>
      <w:bookmarkStart w:id="63" w:name="_Toc150480757"/>
      <w:r/>
      <w:bookmarkStart w:id="64" w:name="_Toc195842884"/>
      <w:r/>
      <w:bookmarkStart w:id="65" w:name="_Toc226337215"/>
      <w:r/>
      <w:bookmarkStart w:id="66" w:name="_Toc226965792"/>
      <w:r/>
      <w:bookmarkStart w:id="67" w:name="_Toc164351613"/>
      <w:r/>
      <w:bookmarkStart w:id="68" w:name="_Toc142311021"/>
      <w:r/>
      <w:bookmarkStart w:id="69" w:name="_Toc149720812"/>
      <w:r/>
      <w:bookmarkStart w:id="70" w:name="_Toc150509270"/>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  包为非单一产品采购项目，核心产品为：/。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0"/>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2025年</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06</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0"/>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成交供应商须按其成交金额的0.8%计算并支付代理费，不足人民币3000元的，按人民币3000元收取。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Start w:id="71" w:name="_Toc353873662"/>
      <w:r/>
      <w:bookmarkStart w:id="72" w:name="_Toc150774722"/>
      <w:r/>
      <w:bookmarkStart w:id="73" w:name="_Toc127151517"/>
      <w:r/>
      <w:bookmarkStart w:id="74" w:name="_Toc353873932"/>
      <w:r/>
      <w:bookmarkStart w:id="75" w:name="_Toc195842882"/>
      <w:r/>
      <w:bookmarkStart w:id="76" w:name="_Toc264969207"/>
      <w:r/>
      <w:bookmarkStart w:id="77" w:name="_Toc226965790"/>
      <w:r/>
      <w:bookmarkStart w:id="78" w:name="_Toc265228355"/>
      <w:r/>
      <w:bookmarkStart w:id="79" w:name="_Toc305158785"/>
      <w:r/>
      <w:bookmarkStart w:id="80" w:name="_Toc305158859"/>
      <w:r/>
      <w:bookmarkStart w:id="81" w:name="_Toc353825542"/>
      <w:r/>
      <w:bookmarkStart w:id="82" w:name="_Toc142311019"/>
      <w:r/>
      <w:bookmarkStart w:id="83" w:name="_Toc226337213"/>
      <w:r/>
      <w:bookmarkStart w:id="84" w:name="_Toc150480755"/>
      <w:r>
        <w:rPr>
          <w:rFonts w:hint="eastAsia" w:ascii="宋体" w:hAnsi="宋体" w:cs="宋体"/>
          <w:b/>
          <w:color w:val="000000"/>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5" w:name="_Toc127151518"/>
      <w:r/>
      <w:bookmarkStart w:id="86" w:name="_Toc520356143"/>
      <w:r>
        <w:rPr>
          <w:rFonts w:hint="eastAsia" w:ascii="宋体" w:hAnsi="宋体" w:eastAsia="宋体" w:cs="宋体"/>
          <w:color w:val="000000"/>
          <w:sz w:val="28"/>
          <w:highlight w:val="none"/>
        </w:rPr>
        <w:tab/>
      </w:r>
      <w:bookmarkStart w:id="87" w:name="_Toc305158786"/>
      <w:r/>
      <w:bookmarkStart w:id="88" w:name="_Toc226965791"/>
      <w:r/>
      <w:bookmarkStart w:id="89" w:name="_Toc150774618"/>
      <w:r/>
      <w:bookmarkStart w:id="90" w:name="_Toc264969208"/>
      <w:r/>
      <w:bookmarkStart w:id="91" w:name="_Toc151193616"/>
      <w:r/>
      <w:bookmarkStart w:id="92" w:name="_Toc151193688"/>
      <w:r/>
      <w:bookmarkStart w:id="93" w:name="_Toc151193832"/>
      <w:r/>
      <w:bookmarkStart w:id="94" w:name="_Toc151193760"/>
      <w:r/>
      <w:bookmarkStart w:id="95" w:name="_Toc150509269"/>
      <w:r/>
      <w:bookmarkStart w:id="96" w:name="_Toc150774723"/>
      <w:r/>
      <w:bookmarkStart w:id="97" w:name="_Toc226309762"/>
      <w:r/>
      <w:bookmarkStart w:id="98" w:name="_Toc226337214"/>
      <w:r/>
      <w:bookmarkStart w:id="99" w:name="_Toc265228356"/>
      <w:r/>
      <w:bookmarkStart w:id="100" w:name="_Toc151193906"/>
      <w:r/>
      <w:bookmarkStart w:id="101" w:name="_Toc226965708"/>
      <w:r/>
      <w:bookmarkStart w:id="102" w:name="_Toc195842883"/>
      <w:r/>
      <w:bookmarkStart w:id="103" w:name="_Toc151190145"/>
      <w:r/>
      <w:bookmarkStart w:id="104" w:name="_Toc150480756"/>
      <w:r/>
      <w:bookmarkStart w:id="105" w:name="_Toc305158860"/>
      <w:r/>
      <w:bookmarkStart w:id="106" w:name="_Toc142311020"/>
      <w:r>
        <w:rPr>
          <w:rFonts w:hint="eastAsia" w:ascii="宋体" w:hAnsi="宋体" w:eastAsia="宋体" w:cs="宋体"/>
          <w:color w:val="000000"/>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07" w:name="_Toc305158787"/>
      <w:r/>
      <w:bookmarkStart w:id="108" w:name="_Toc264969209"/>
      <w:r/>
      <w:bookmarkStart w:id="109" w:name="_Toc265228357"/>
      <w:r/>
      <w:bookmarkStart w:id="110" w:name="_Toc305158861"/>
      <w:r>
        <w:rPr>
          <w:rFonts w:hint="eastAsia" w:ascii="宋体" w:hAnsi="宋体" w:cs="宋体"/>
          <w:b/>
          <w:color w:val="000000"/>
          <w:sz w:val="24"/>
          <w:highlight w:val="none"/>
        </w:rPr>
        <w:t xml:space="preserve">采购人、采购代理机构、投标人</w:t>
      </w:r>
      <w:bookmarkEnd w:id="107"/>
      <w:r/>
      <w:bookmarkEnd w:id="108"/>
      <w:r/>
      <w:bookmarkEnd w:id="109"/>
      <w:r/>
      <w:bookmarkEnd w:id="110"/>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149720813"/>
      <w:r/>
      <w:bookmarkStart w:id="112" w:name="_Toc150774620"/>
      <w:r/>
      <w:bookmarkStart w:id="113" w:name="_Toc195842885"/>
      <w:r/>
      <w:bookmarkStart w:id="114" w:name="_Toc127151721"/>
      <w:r/>
      <w:bookmarkStart w:id="115" w:name="_Toc226309764"/>
      <w:r/>
      <w:bookmarkStart w:id="116" w:name="_Toc265228358"/>
      <w:r/>
      <w:bookmarkStart w:id="117" w:name="_Toc264969210"/>
      <w:r/>
      <w:bookmarkStart w:id="118" w:name="_Toc151193834"/>
      <w:r/>
      <w:bookmarkStart w:id="119" w:name="_Toc226337216"/>
      <w:r/>
      <w:bookmarkStart w:id="120" w:name="_Toc164229361"/>
      <w:r/>
      <w:bookmarkStart w:id="121" w:name="_Toc150774725"/>
      <w:r/>
      <w:bookmarkStart w:id="122" w:name="_Toc150480758"/>
      <w:r/>
      <w:bookmarkStart w:id="123" w:name="_Toc151193762"/>
      <w:r/>
      <w:bookmarkStart w:id="124" w:name="_Toc150509271"/>
      <w:r/>
      <w:bookmarkStart w:id="125" w:name="_Toc305158862"/>
      <w:r/>
      <w:bookmarkStart w:id="126" w:name="_Toc305158788"/>
      <w:r/>
      <w:bookmarkStart w:id="127" w:name="_Toc226965793"/>
      <w:r/>
      <w:bookmarkStart w:id="128" w:name="_Toc164608634"/>
      <w:r/>
      <w:bookmarkStart w:id="129" w:name="_Toc151193690"/>
      <w:r/>
      <w:bookmarkStart w:id="130" w:name="_Toc151190147"/>
      <w:r/>
      <w:bookmarkStart w:id="131" w:name="_Toc164229215"/>
      <w:r/>
      <w:bookmarkStart w:id="132" w:name="_Toc142311022"/>
      <w:r/>
      <w:bookmarkStart w:id="133" w:name="_Toc151193618"/>
      <w:r/>
      <w:bookmarkStart w:id="134" w:name="_Toc164608789"/>
      <w:r/>
      <w:bookmarkStart w:id="135" w:name="_Toc127161434"/>
      <w:r/>
      <w:bookmarkStart w:id="136" w:name="_Toc226965710"/>
      <w:r/>
      <w:bookmarkStart w:id="137" w:name="_Toc127151520"/>
      <w:r/>
      <w:bookmarkStart w:id="138" w:name="_Toc164351614"/>
      <w:r/>
      <w:bookmarkStart w:id="139" w:name="_Toc151193908"/>
      <w:r>
        <w:rPr>
          <w:rFonts w:hint="eastAsia" w:ascii="宋体" w:hAnsi="宋体" w:cs="宋体"/>
          <w:b/>
          <w:color w:val="000000"/>
          <w:sz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0" w:name="_Toc195842887"/>
      <w:r/>
      <w:bookmarkStart w:id="141" w:name="_Toc150774727"/>
      <w:r/>
      <w:bookmarkStart w:id="142" w:name="_Toc151193764"/>
      <w:r/>
      <w:bookmarkStart w:id="143" w:name="_Toc226337218"/>
      <w:r/>
      <w:bookmarkStart w:id="144" w:name="_Toc226309766"/>
      <w:r/>
      <w:bookmarkStart w:id="145" w:name="_Toc305158864"/>
      <w:r/>
      <w:bookmarkStart w:id="146" w:name="_Toc305158790"/>
      <w:r/>
      <w:bookmarkStart w:id="147" w:name="_Toc151193692"/>
      <w:r/>
      <w:bookmarkStart w:id="148" w:name="_Toc150774622"/>
      <w:r/>
      <w:bookmarkStart w:id="149" w:name="_Toc150509273"/>
      <w:r/>
      <w:bookmarkStart w:id="150" w:name="_Toc142311024"/>
      <w:r/>
      <w:bookmarkStart w:id="151" w:name="_Toc226965712"/>
      <w:r/>
      <w:bookmarkStart w:id="152" w:name="_Toc226965795"/>
      <w:r/>
      <w:bookmarkStart w:id="153" w:name="_Toc151193620"/>
      <w:r/>
      <w:bookmarkStart w:id="154" w:name="_Toc265228360"/>
      <w:r/>
      <w:bookmarkStart w:id="155" w:name="_Toc520356146"/>
      <w:r/>
      <w:bookmarkStart w:id="156" w:name="_Toc150480760"/>
      <w:r/>
      <w:bookmarkStart w:id="157" w:name="_Toc151193836"/>
      <w:r/>
      <w:bookmarkStart w:id="158" w:name="_Toc151193910"/>
      <w:r/>
      <w:bookmarkStart w:id="159" w:name="_Toc151190149"/>
      <w:r/>
      <w:bookmarkStart w:id="160" w:name="_Toc127151522"/>
      <w:r/>
      <w:bookmarkStart w:id="161" w:name="_Toc264969212"/>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62" w:name="_1.8_计量单位"/>
      <w:r/>
      <w:bookmarkEnd w:id="162"/>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3" w:name="_Toc151193911"/>
      <w:r/>
      <w:bookmarkStart w:id="164" w:name="_Toc305158865"/>
      <w:r/>
      <w:bookmarkStart w:id="165" w:name="_Toc520356147"/>
      <w:r/>
      <w:bookmarkStart w:id="166" w:name="_Toc226309767"/>
      <w:r/>
      <w:bookmarkStart w:id="167" w:name="_Toc151193765"/>
      <w:r/>
      <w:bookmarkStart w:id="168" w:name="_Toc150774623"/>
      <w:r/>
      <w:bookmarkStart w:id="169" w:name="_Toc150480761"/>
      <w:r/>
      <w:bookmarkStart w:id="170" w:name="_Toc150774728"/>
      <w:r/>
      <w:bookmarkStart w:id="171" w:name="_Toc127161437"/>
      <w:r/>
      <w:bookmarkStart w:id="172" w:name="_Toc151193837"/>
      <w:r/>
      <w:bookmarkStart w:id="173" w:name="_Toc150509274"/>
      <w:r/>
      <w:bookmarkStart w:id="174" w:name="_Toc164608792"/>
      <w:r/>
      <w:bookmarkStart w:id="175" w:name="_Toc195842888"/>
      <w:r/>
      <w:bookmarkStart w:id="176" w:name="_Toc164229364"/>
      <w:r/>
      <w:bookmarkStart w:id="177" w:name="_Toc142311025"/>
      <w:r/>
      <w:bookmarkStart w:id="178" w:name="_Toc226965713"/>
      <w:r/>
      <w:bookmarkStart w:id="179" w:name="_Toc127151523"/>
      <w:r/>
      <w:bookmarkStart w:id="180" w:name="_Toc149720816"/>
      <w:r/>
      <w:bookmarkStart w:id="181" w:name="_Toc264969213"/>
      <w:r/>
      <w:bookmarkStart w:id="182" w:name="_Toc127151724"/>
      <w:r/>
      <w:bookmarkStart w:id="183" w:name="_Toc164351617"/>
      <w:r/>
      <w:bookmarkStart w:id="184" w:name="_Toc164229218"/>
      <w:r/>
      <w:bookmarkStart w:id="185" w:name="_Toc226337219"/>
      <w:r/>
      <w:bookmarkStart w:id="186" w:name="_Toc151193693"/>
      <w:r/>
      <w:bookmarkStart w:id="187" w:name="_Toc151193621"/>
      <w:r/>
      <w:bookmarkStart w:id="188" w:name="_Toc164608637"/>
      <w:r/>
      <w:bookmarkStart w:id="189" w:name="_Toc265228361"/>
      <w:r/>
      <w:bookmarkStart w:id="190" w:name="_Toc305158791"/>
      <w:r/>
      <w:bookmarkStart w:id="191" w:name="_Toc226965796"/>
      <w:r/>
      <w:bookmarkStart w:id="192" w:name="_Toc151190150"/>
      <w:r>
        <w:rPr>
          <w:rFonts w:hint="eastAsia" w:ascii="宋体" w:hAnsi="宋体" w:cs="宋体"/>
          <w:b/>
          <w:color w:val="000000"/>
          <w:sz w:val="24"/>
          <w:highlight w:val="none"/>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193" w:name="_Toc305158794"/>
      <w:r/>
      <w:bookmarkStart w:id="194" w:name="_Toc264969216"/>
      <w:r/>
      <w:bookmarkStart w:id="195" w:name="_Toc151193624"/>
      <w:r/>
      <w:bookmarkStart w:id="196" w:name="_Toc127151526"/>
      <w:r/>
      <w:bookmarkStart w:id="197" w:name="_Toc151193840"/>
      <w:r/>
      <w:bookmarkStart w:id="198" w:name="_Toc150509277"/>
      <w:r/>
      <w:bookmarkStart w:id="199" w:name="_Toc151193914"/>
      <w:r/>
      <w:bookmarkStart w:id="200" w:name="_Toc226337222"/>
      <w:r/>
      <w:bookmarkStart w:id="201" w:name="_Toc142311028"/>
      <w:r/>
      <w:bookmarkStart w:id="202" w:name="_Toc151193768"/>
      <w:r/>
      <w:bookmarkStart w:id="203" w:name="_Toc151193696"/>
      <w:r/>
      <w:bookmarkStart w:id="204" w:name="_Toc520356150"/>
      <w:r/>
      <w:bookmarkStart w:id="205" w:name="_Toc226965716"/>
      <w:r/>
      <w:bookmarkStart w:id="206" w:name="_Toc516367020"/>
      <w:r/>
      <w:bookmarkStart w:id="207" w:name="_Toc150480764"/>
      <w:r/>
      <w:bookmarkStart w:id="208" w:name="_Toc226309770"/>
      <w:r/>
      <w:bookmarkStart w:id="209" w:name="_Toc150774626"/>
      <w:r/>
      <w:bookmarkStart w:id="210" w:name="_Toc265228364"/>
      <w:r/>
      <w:bookmarkStart w:id="211" w:name="_Toc150774731"/>
      <w:r/>
      <w:bookmarkStart w:id="212" w:name="_Toc151190153"/>
      <w:r/>
      <w:bookmarkStart w:id="213" w:name="_Toc195842891"/>
      <w:r/>
      <w:bookmarkStart w:id="214" w:name="_Toc305158868"/>
      <w:r/>
      <w:bookmarkStart w:id="215" w:name="_Toc226965799"/>
      <w:r>
        <w:rPr>
          <w:rFonts w:hint="eastAsia" w:ascii="宋体" w:hAnsi="宋体" w:eastAsia="宋体" w:cs="宋体"/>
          <w:color w:val="000000"/>
          <w:sz w:val="28"/>
          <w:highlight w:val="none"/>
        </w:rPr>
        <w:t xml:space="preserve">三   投标文件</w:t>
      </w:r>
      <w:bookmarkEnd w:id="206"/>
      <w:r>
        <w:rPr>
          <w:rFonts w:hint="eastAsia" w:ascii="宋体" w:hAnsi="宋体" w:eastAsia="宋体" w:cs="宋体"/>
          <w:color w:val="000000"/>
          <w:sz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16" w:name="_Toc142311029"/>
      <w:r/>
      <w:bookmarkStart w:id="217" w:name="_Toc149720820"/>
      <w:r/>
      <w:bookmarkStart w:id="218" w:name="_Toc164608796"/>
      <w:r/>
      <w:bookmarkStart w:id="219" w:name="_Toc226965717"/>
      <w:r/>
      <w:bookmarkStart w:id="220" w:name="_Toc305158869"/>
      <w:r/>
      <w:bookmarkStart w:id="221" w:name="_Toc151193697"/>
      <w:r/>
      <w:bookmarkStart w:id="222" w:name="_Toc164608641"/>
      <w:r/>
      <w:bookmarkStart w:id="223" w:name="_Toc150774732"/>
      <w:r/>
      <w:bookmarkStart w:id="224" w:name="_Toc127161441"/>
      <w:r/>
      <w:bookmarkStart w:id="225" w:name="_Toc195842892"/>
      <w:r/>
      <w:bookmarkStart w:id="226" w:name="_Toc151193915"/>
      <w:r/>
      <w:bookmarkStart w:id="227" w:name="_Toc150509278"/>
      <w:r/>
      <w:bookmarkStart w:id="228" w:name="_Toc127151728"/>
      <w:r/>
      <w:bookmarkStart w:id="229" w:name="_Toc265228365"/>
      <w:r/>
      <w:bookmarkStart w:id="230" w:name="_Toc151190154"/>
      <w:r/>
      <w:bookmarkStart w:id="231" w:name="_Toc264969217"/>
      <w:r/>
      <w:bookmarkStart w:id="232" w:name="_Toc164229368"/>
      <w:r/>
      <w:bookmarkStart w:id="233" w:name="_Toc305158795"/>
      <w:r/>
      <w:bookmarkStart w:id="234" w:name="_Toc226337223"/>
      <w:r/>
      <w:bookmarkStart w:id="235" w:name="_Toc164229222"/>
      <w:r/>
      <w:bookmarkStart w:id="236" w:name="_Toc226309771"/>
      <w:r/>
      <w:bookmarkStart w:id="237" w:name="_Toc164351621"/>
      <w:r/>
      <w:bookmarkStart w:id="238" w:name="_Toc127151527"/>
      <w:r/>
      <w:bookmarkStart w:id="239" w:name="_Toc150480765"/>
      <w:r/>
      <w:bookmarkStart w:id="240" w:name="_Toc520356151"/>
      <w:r/>
      <w:bookmarkStart w:id="241" w:name="_Toc151193625"/>
      <w:r/>
      <w:bookmarkStart w:id="242" w:name="_Toc151193841"/>
      <w:r/>
      <w:bookmarkStart w:id="243" w:name="_Toc226965800"/>
      <w:r/>
      <w:bookmarkStart w:id="244" w:name="_Toc151193769"/>
      <w:r/>
      <w:bookmarkStart w:id="245" w:name="_Toc516367021"/>
      <w:r/>
      <w:bookmarkStart w:id="246" w:name="_Toc150774627"/>
      <w:r>
        <w:rPr>
          <w:rFonts w:hint="eastAsia" w:ascii="宋体" w:hAnsi="宋体" w:cs="宋体"/>
          <w:b/>
          <w:color w:val="000000"/>
          <w:sz w:val="24"/>
          <w:highlight w:val="none"/>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47" w:name="_Toc226965801"/>
      <w:r/>
      <w:bookmarkStart w:id="248" w:name="_Toc150480766"/>
      <w:r/>
      <w:bookmarkStart w:id="249" w:name="_Toc305158870"/>
      <w:r/>
      <w:bookmarkStart w:id="250" w:name="_Toc151193770"/>
      <w:r/>
      <w:bookmarkStart w:id="251" w:name="_Toc164608642"/>
      <w:r/>
      <w:bookmarkStart w:id="252" w:name="_Toc151190155"/>
      <w:r/>
      <w:bookmarkStart w:id="253" w:name="_Toc520356152"/>
      <w:r/>
      <w:bookmarkStart w:id="254" w:name="_Ref467306195"/>
      <w:r/>
      <w:bookmarkStart w:id="255" w:name="_Toc516367022"/>
      <w:r/>
      <w:bookmarkStart w:id="256" w:name="_Ref467306676"/>
      <w:r/>
      <w:bookmarkStart w:id="257" w:name="_Toc164229223"/>
      <w:r/>
      <w:bookmarkStart w:id="258" w:name="_Toc142311030"/>
      <w:r/>
      <w:bookmarkStart w:id="259" w:name="_Toc151193842"/>
      <w:r/>
      <w:bookmarkStart w:id="260" w:name="_Toc127151729"/>
      <w:r/>
      <w:bookmarkStart w:id="261" w:name="_Toc226965718"/>
      <w:r/>
      <w:bookmarkStart w:id="262" w:name="_Toc151193916"/>
      <w:r/>
      <w:bookmarkStart w:id="263" w:name="_Toc150774733"/>
      <w:r/>
      <w:bookmarkStart w:id="264" w:name="_Toc265228366"/>
      <w:r/>
      <w:bookmarkStart w:id="265" w:name="_Toc149720821"/>
      <w:r/>
      <w:bookmarkStart w:id="266" w:name="_Toc195842893"/>
      <w:r/>
      <w:bookmarkStart w:id="267" w:name="_Toc127151528"/>
      <w:r/>
      <w:bookmarkStart w:id="268" w:name="_Toc226337224"/>
      <w:r/>
      <w:bookmarkStart w:id="269" w:name="_Toc164351622"/>
      <w:r/>
      <w:bookmarkStart w:id="270" w:name="_Toc305158796"/>
      <w:r/>
      <w:bookmarkStart w:id="271" w:name="_Toc264969218"/>
      <w:r/>
      <w:bookmarkStart w:id="272" w:name="_Toc164608797"/>
      <w:r/>
      <w:bookmarkStart w:id="273" w:name="_Toc151193698"/>
      <w:r/>
      <w:bookmarkStart w:id="274" w:name="_Toc151193626"/>
      <w:r/>
      <w:bookmarkStart w:id="275" w:name="_Toc127161442"/>
      <w:r/>
      <w:bookmarkStart w:id="276" w:name="_Toc164229369"/>
      <w:r/>
      <w:bookmarkStart w:id="277" w:name="_Toc150509279"/>
      <w:r/>
      <w:bookmarkStart w:id="278" w:name="_Toc226309772"/>
      <w:r/>
      <w:bookmarkStart w:id="279" w:name="_Toc150774628"/>
      <w:r>
        <w:rPr>
          <w:rFonts w:hint="eastAsia" w:ascii="宋体" w:hAnsi="宋体" w:cs="宋体"/>
          <w:b/>
          <w:color w:val="000000"/>
          <w:sz w:val="24"/>
          <w:highlight w:val="none"/>
        </w:rPr>
        <w:t xml:space="preserve">投标文件</w:t>
      </w:r>
      <w:bookmarkEnd w:id="254"/>
      <w:r/>
      <w:bookmarkEnd w:id="255"/>
      <w:r/>
      <w:bookmarkEnd w:id="256"/>
      <w:r>
        <w:rPr>
          <w:rFonts w:hint="eastAsia" w:ascii="宋体" w:hAnsi="宋体" w:cs="宋体"/>
          <w:b/>
          <w:color w:val="000000"/>
          <w:sz w:val="24"/>
          <w:highlight w:val="none"/>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0"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0"/>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1" w:name="_Toc127151530"/>
      <w:r/>
      <w:bookmarkStart w:id="282" w:name="_Toc151190157"/>
      <w:r/>
      <w:bookmarkStart w:id="283" w:name="_Toc127161444"/>
      <w:r/>
      <w:bookmarkStart w:id="284" w:name="_Toc151193700"/>
      <w:r/>
      <w:bookmarkStart w:id="285" w:name="_Toc151193918"/>
      <w:r/>
      <w:bookmarkStart w:id="286" w:name="_Toc151193844"/>
      <w:r/>
      <w:bookmarkStart w:id="287" w:name="_Toc164608799"/>
      <w:r/>
      <w:bookmarkStart w:id="288" w:name="_Toc150480768"/>
      <w:r/>
      <w:bookmarkStart w:id="289" w:name="_Toc164229371"/>
      <w:r/>
      <w:bookmarkStart w:id="290" w:name="_Toc150509281"/>
      <w:r/>
      <w:bookmarkStart w:id="291" w:name="_Toc164229225"/>
      <w:r/>
      <w:bookmarkStart w:id="292" w:name="_Toc195842895"/>
      <w:r/>
      <w:bookmarkStart w:id="293" w:name="_Toc151193628"/>
      <w:r/>
      <w:bookmarkStart w:id="294" w:name="_Toc164351624"/>
      <w:r/>
      <w:bookmarkStart w:id="295" w:name="_Toc142311032"/>
      <w:r/>
      <w:bookmarkStart w:id="296" w:name="_Toc164608644"/>
      <w:r/>
      <w:bookmarkStart w:id="297" w:name="_Toc149720823"/>
      <w:r/>
      <w:bookmarkStart w:id="298" w:name="_Toc150774735"/>
      <w:r/>
      <w:bookmarkStart w:id="299" w:name="_Toc520356155"/>
      <w:r/>
      <w:bookmarkStart w:id="300" w:name="_Toc127151731"/>
      <w:r/>
      <w:bookmarkStart w:id="301" w:name="_Toc150774630"/>
      <w:r/>
      <w:bookmarkStart w:id="302" w:name="_Toc151193772"/>
      <w:r>
        <w:rPr>
          <w:rFonts w:hint="eastAsia" w:ascii="宋体" w:hAnsi="宋体" w:cs="宋体"/>
          <w:b/>
          <w:color w:val="000000"/>
          <w:sz w:val="24"/>
          <w:highlight w:val="none"/>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3" w:name="_Toc226337227"/>
      <w:r/>
      <w:bookmarkStart w:id="304" w:name="_Toc226309775"/>
      <w:r/>
      <w:bookmarkStart w:id="305" w:name="_Toc164351625"/>
      <w:r/>
      <w:bookmarkStart w:id="306" w:name="_Toc164608800"/>
      <w:r/>
      <w:bookmarkStart w:id="307" w:name="_Toc305158799"/>
      <w:r/>
      <w:bookmarkStart w:id="308" w:name="_Toc151193919"/>
      <w:r/>
      <w:bookmarkStart w:id="309" w:name="_Toc142311033"/>
      <w:r/>
      <w:bookmarkStart w:id="310" w:name="_Toc226965721"/>
      <w:r/>
      <w:bookmarkStart w:id="311" w:name="_Toc150480769"/>
      <w:r/>
      <w:bookmarkStart w:id="312" w:name="_Toc164229226"/>
      <w:r/>
      <w:bookmarkStart w:id="313" w:name="_Toc520356156"/>
      <w:r/>
      <w:bookmarkStart w:id="314" w:name="_Toc127161445"/>
      <w:r/>
      <w:bookmarkStart w:id="315" w:name="_Toc150509282"/>
      <w:r/>
      <w:bookmarkStart w:id="316" w:name="_Toc151193845"/>
      <w:r/>
      <w:bookmarkStart w:id="317" w:name="_Toc264969221"/>
      <w:r/>
      <w:bookmarkStart w:id="318" w:name="_Toc151190158"/>
      <w:r/>
      <w:bookmarkStart w:id="319" w:name="_Toc164229372"/>
      <w:r/>
      <w:bookmarkStart w:id="320" w:name="_Toc164608645"/>
      <w:r/>
      <w:bookmarkStart w:id="321" w:name="_Toc226965804"/>
      <w:r/>
      <w:bookmarkStart w:id="322" w:name="_Toc195842896"/>
      <w:r/>
      <w:bookmarkStart w:id="323" w:name="_Toc265228369"/>
      <w:r/>
      <w:bookmarkStart w:id="324" w:name="_Toc151193773"/>
      <w:r/>
      <w:bookmarkStart w:id="325" w:name="_Toc151193701"/>
      <w:r/>
      <w:bookmarkStart w:id="326" w:name="_Toc150774631"/>
      <w:r/>
      <w:bookmarkStart w:id="327" w:name="_Toc305158873"/>
      <w:r/>
      <w:bookmarkStart w:id="328" w:name="_Toc150774736"/>
      <w:r/>
      <w:bookmarkStart w:id="329" w:name="_Toc127151531"/>
      <w:r/>
      <w:bookmarkStart w:id="330" w:name="_Toc149720824"/>
      <w:r/>
      <w:bookmarkStart w:id="331" w:name="_Toc151193629"/>
      <w:r/>
      <w:bookmarkStart w:id="332" w:name="_Ref467306513"/>
      <w:r/>
      <w:bookmarkStart w:id="333" w:name="_Toc127151732"/>
      <w:r>
        <w:rPr>
          <w:rFonts w:hint="eastAsia" w:ascii="宋体" w:hAnsi="宋体" w:cs="宋体"/>
          <w:b/>
          <w:color w:val="000000"/>
          <w:sz w:val="24"/>
          <w:highlight w:val="none"/>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4" w:name="_Toc150774632"/>
      <w:r/>
      <w:bookmarkStart w:id="335" w:name="_Toc264969222"/>
      <w:r/>
      <w:bookmarkStart w:id="336" w:name="_Toc151193774"/>
      <w:r/>
      <w:bookmarkStart w:id="337" w:name="_Toc127151733"/>
      <w:r/>
      <w:bookmarkStart w:id="338" w:name="_Toc305158800"/>
      <w:r/>
      <w:bookmarkStart w:id="339" w:name="_Toc164608801"/>
      <w:r/>
      <w:bookmarkStart w:id="340" w:name="_Toc151190159"/>
      <w:r/>
      <w:bookmarkStart w:id="341" w:name="_Toc142311034"/>
      <w:r/>
      <w:bookmarkStart w:id="342" w:name="_Toc150480770"/>
      <w:r/>
      <w:bookmarkStart w:id="343" w:name="_Toc149720825"/>
      <w:r/>
      <w:bookmarkStart w:id="344" w:name="_Toc226337228"/>
      <w:r/>
      <w:bookmarkStart w:id="345" w:name="_Toc127151532"/>
      <w:r/>
      <w:bookmarkStart w:id="346" w:name="_Toc164229373"/>
      <w:r/>
      <w:bookmarkStart w:id="347" w:name="_Toc226965722"/>
      <w:r/>
      <w:bookmarkStart w:id="348" w:name="_Toc164351626"/>
      <w:r/>
      <w:bookmarkStart w:id="349" w:name="_Toc226965805"/>
      <w:r/>
      <w:bookmarkStart w:id="350" w:name="_Toc151193702"/>
      <w:r/>
      <w:bookmarkStart w:id="351" w:name="_Toc164229227"/>
      <w:r/>
      <w:bookmarkStart w:id="352" w:name="_Toc151193846"/>
      <w:r/>
      <w:bookmarkStart w:id="353" w:name="_Toc305158874"/>
      <w:r/>
      <w:bookmarkStart w:id="354" w:name="_Toc195842897"/>
      <w:r/>
      <w:bookmarkStart w:id="355" w:name="_Toc164608646"/>
      <w:r/>
      <w:bookmarkStart w:id="356" w:name="_Toc151193630"/>
      <w:r/>
      <w:bookmarkStart w:id="357" w:name="_Toc151193920"/>
      <w:r/>
      <w:bookmarkStart w:id="358" w:name="_Toc520356157"/>
      <w:r/>
      <w:bookmarkStart w:id="359" w:name="_Toc150774737"/>
      <w:r/>
      <w:bookmarkStart w:id="360" w:name="_Toc150509283"/>
      <w:r/>
      <w:bookmarkStart w:id="361" w:name="_Toc265228370"/>
      <w:r/>
      <w:bookmarkStart w:id="362" w:name="_Toc226309776"/>
      <w:r/>
      <w:bookmarkStart w:id="363" w:name="_Toc127161446"/>
      <w:r>
        <w:rPr>
          <w:rFonts w:hint="eastAsia" w:ascii="宋体" w:hAnsi="宋体" w:cs="宋体"/>
          <w:b/>
          <w:color w:val="000000"/>
          <w:sz w:val="24"/>
          <w:highlight w:val="none"/>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4" w:name="_Toc150774633"/>
      <w:r/>
      <w:bookmarkStart w:id="365" w:name="_Toc164351627"/>
      <w:r/>
      <w:bookmarkStart w:id="366" w:name="_Toc127161447"/>
      <w:r/>
      <w:bookmarkStart w:id="367" w:name="_Toc305158875"/>
      <w:r/>
      <w:bookmarkStart w:id="368" w:name="_Toc164229228"/>
      <w:r/>
      <w:bookmarkStart w:id="369" w:name="_Toc226309777"/>
      <w:r/>
      <w:bookmarkStart w:id="370" w:name="_Toc305158801"/>
      <w:r/>
      <w:bookmarkStart w:id="371" w:name="_Toc151193631"/>
      <w:r/>
      <w:bookmarkStart w:id="372" w:name="_Toc127151734"/>
      <w:r/>
      <w:bookmarkStart w:id="373" w:name="_Toc150480771"/>
      <w:r/>
      <w:bookmarkStart w:id="374" w:name="_Toc195842898"/>
      <w:r/>
      <w:bookmarkStart w:id="375" w:name="_Toc149720826"/>
      <w:r/>
      <w:bookmarkStart w:id="376" w:name="_Toc164608802"/>
      <w:r/>
      <w:bookmarkStart w:id="377" w:name="_Toc164229374"/>
      <w:r/>
      <w:bookmarkStart w:id="378" w:name="_Toc151193775"/>
      <w:r/>
      <w:bookmarkStart w:id="379" w:name="_Toc127151533"/>
      <w:r/>
      <w:bookmarkStart w:id="380" w:name="_Toc151193921"/>
      <w:r/>
      <w:bookmarkStart w:id="381" w:name="_Toc226965723"/>
      <w:r/>
      <w:bookmarkStart w:id="382" w:name="_Toc150509284"/>
      <w:r/>
      <w:bookmarkStart w:id="383" w:name="_Toc151193703"/>
      <w:r/>
      <w:bookmarkStart w:id="384" w:name="_Toc226337229"/>
      <w:r/>
      <w:bookmarkStart w:id="385" w:name="_Toc265228371"/>
      <w:r/>
      <w:bookmarkStart w:id="386" w:name="_Toc164608647"/>
      <w:r/>
      <w:bookmarkStart w:id="387" w:name="_Toc151193847"/>
      <w:r/>
      <w:bookmarkStart w:id="388" w:name="_Toc226965806"/>
      <w:r/>
      <w:bookmarkStart w:id="389" w:name="_Toc264969223"/>
      <w:r/>
      <w:bookmarkStart w:id="390" w:name="_Toc520356158"/>
      <w:r/>
      <w:bookmarkStart w:id="391" w:name="_Toc142311035"/>
      <w:r/>
      <w:bookmarkStart w:id="392" w:name="_Toc151190160"/>
      <w:r/>
      <w:bookmarkStart w:id="393" w:name="_Toc150774738"/>
      <w:r>
        <w:rPr>
          <w:rFonts w:hint="eastAsia" w:ascii="宋体" w:hAnsi="宋体" w:cs="宋体"/>
          <w:b/>
          <w:color w:val="000000"/>
          <w:sz w:val="24"/>
          <w:highlight w:val="none"/>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4" w:name="_Toc305158802"/>
      <w:r/>
      <w:bookmarkStart w:id="395" w:name="_Toc150509285"/>
      <w:r/>
      <w:bookmarkStart w:id="396" w:name="_Toc127151534"/>
      <w:r/>
      <w:bookmarkStart w:id="397" w:name="_Toc150480772"/>
      <w:r/>
      <w:bookmarkStart w:id="398" w:name="_Toc151193848"/>
      <w:r/>
      <w:bookmarkStart w:id="399" w:name="_Toc226337230"/>
      <w:r/>
      <w:bookmarkStart w:id="400" w:name="_Toc151193632"/>
      <w:r/>
      <w:bookmarkStart w:id="401" w:name="_Toc195842899"/>
      <w:r/>
      <w:bookmarkStart w:id="402" w:name="_Toc305158876"/>
      <w:r/>
      <w:bookmarkStart w:id="403" w:name="_Toc520356159"/>
      <w:r/>
      <w:bookmarkStart w:id="404" w:name="_Toc150774634"/>
      <w:r/>
      <w:bookmarkStart w:id="405" w:name="_Toc151193776"/>
      <w:r/>
      <w:bookmarkStart w:id="406" w:name="_Toc226965807"/>
      <w:r/>
      <w:bookmarkStart w:id="407" w:name="_Toc226309778"/>
      <w:r/>
      <w:bookmarkStart w:id="408" w:name="_Toc264969224"/>
      <w:r/>
      <w:bookmarkStart w:id="409" w:name="_Toc151190161"/>
      <w:r/>
      <w:bookmarkStart w:id="410" w:name="_Toc226965724"/>
      <w:r/>
      <w:bookmarkStart w:id="411" w:name="_Toc142311036"/>
      <w:r/>
      <w:bookmarkStart w:id="412" w:name="_Toc151193704"/>
      <w:r/>
      <w:bookmarkStart w:id="413" w:name="_Toc151193922"/>
      <w:r/>
      <w:bookmarkStart w:id="414" w:name="_Toc265228372"/>
      <w:r/>
      <w:bookmarkStart w:id="415" w:name="_Toc15077473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16" w:name="_Toc150480773"/>
      <w:r/>
      <w:bookmarkStart w:id="417" w:name="_Toc151193923"/>
      <w:r/>
      <w:bookmarkStart w:id="418" w:name="_Toc226965808"/>
      <w:r/>
      <w:bookmarkStart w:id="419" w:name="_Toc305158877"/>
      <w:r/>
      <w:bookmarkStart w:id="420" w:name="_Toc164229230"/>
      <w:r/>
      <w:bookmarkStart w:id="421" w:name="_Toc305158803"/>
      <w:r/>
      <w:bookmarkStart w:id="422" w:name="_Toc164608649"/>
      <w:r/>
      <w:bookmarkStart w:id="423" w:name="_Toc264969225"/>
      <w:r/>
      <w:bookmarkStart w:id="424" w:name="_Toc195842900"/>
      <w:r/>
      <w:bookmarkStart w:id="425" w:name="_Toc142311037"/>
      <w:r/>
      <w:bookmarkStart w:id="426" w:name="_Toc151193633"/>
      <w:r/>
      <w:bookmarkStart w:id="427" w:name="_Toc226309779"/>
      <w:r/>
      <w:bookmarkStart w:id="428" w:name="_Toc164608804"/>
      <w:r/>
      <w:bookmarkStart w:id="429" w:name="_Toc164229376"/>
      <w:r/>
      <w:bookmarkStart w:id="430" w:name="_Toc226965725"/>
      <w:r/>
      <w:bookmarkStart w:id="431" w:name="_Toc150774740"/>
      <w:r/>
      <w:bookmarkStart w:id="432" w:name="_Toc151193849"/>
      <w:r/>
      <w:bookmarkStart w:id="433" w:name="_Toc226337231"/>
      <w:r/>
      <w:bookmarkStart w:id="434" w:name="_Toc127151736"/>
      <w:r/>
      <w:bookmarkStart w:id="435" w:name="_Toc151193777"/>
      <w:r/>
      <w:bookmarkStart w:id="436" w:name="_Toc127161449"/>
      <w:r/>
      <w:bookmarkStart w:id="437" w:name="_Toc150774635"/>
      <w:r/>
      <w:bookmarkStart w:id="438" w:name="_Toc149720828"/>
      <w:r/>
      <w:bookmarkStart w:id="439" w:name="_Toc150509286"/>
      <w:r/>
      <w:bookmarkStart w:id="440" w:name="_Toc164351629"/>
      <w:r/>
      <w:bookmarkStart w:id="441" w:name="_Toc151190162"/>
      <w:r/>
      <w:bookmarkStart w:id="442" w:name="_Toc151193705"/>
      <w:r/>
      <w:bookmarkStart w:id="443" w:name="_Toc127151535"/>
      <w:r/>
      <w:bookmarkStart w:id="444" w:name="_Toc265228373"/>
      <w:r/>
      <w:bookmarkStart w:id="445" w:name="_Toc520356160"/>
      <w:r>
        <w:rPr>
          <w:rFonts w:hint="eastAsia" w:ascii="宋体" w:hAnsi="宋体" w:cs="宋体"/>
          <w:b/>
          <w:color w:val="000000"/>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46" w:name="_Toc151190163"/>
      <w:r/>
      <w:bookmarkStart w:id="447" w:name="_Toc164229231"/>
      <w:r/>
      <w:bookmarkStart w:id="448" w:name="_Toc149720829"/>
      <w:r/>
      <w:bookmarkStart w:id="449" w:name="_Toc264969226"/>
      <w:r/>
      <w:bookmarkStart w:id="450" w:name="_Toc520356161"/>
      <w:r/>
      <w:bookmarkStart w:id="451" w:name="_Toc151193850"/>
      <w:r/>
      <w:bookmarkStart w:id="452" w:name="_Toc127151737"/>
      <w:r/>
      <w:bookmarkStart w:id="453" w:name="_Toc151193706"/>
      <w:r/>
      <w:bookmarkStart w:id="454" w:name="_Toc226309780"/>
      <w:r/>
      <w:bookmarkStart w:id="455" w:name="_Toc164608805"/>
      <w:r/>
      <w:bookmarkStart w:id="456" w:name="_Toc164608650"/>
      <w:r/>
      <w:bookmarkStart w:id="457" w:name="_Toc150774636"/>
      <w:r/>
      <w:bookmarkStart w:id="458" w:name="_Toc150480774"/>
      <w:r/>
      <w:bookmarkStart w:id="459" w:name="_Toc151193634"/>
      <w:r/>
      <w:bookmarkStart w:id="460" w:name="_Toc164351630"/>
      <w:r/>
      <w:bookmarkStart w:id="461" w:name="_Toc226965726"/>
      <w:r/>
      <w:bookmarkStart w:id="462" w:name="_Toc127151536"/>
      <w:r/>
      <w:bookmarkStart w:id="463" w:name="_Toc305158804"/>
      <w:r/>
      <w:bookmarkStart w:id="464" w:name="_Toc142311038"/>
      <w:r/>
      <w:bookmarkStart w:id="465" w:name="_Toc226965809"/>
      <w:r/>
      <w:bookmarkStart w:id="466" w:name="_Toc150509287"/>
      <w:r/>
      <w:bookmarkStart w:id="467" w:name="_Toc195842901"/>
      <w:r/>
      <w:bookmarkStart w:id="468" w:name="_Toc305158878"/>
      <w:r/>
      <w:bookmarkStart w:id="469" w:name="_Toc127161450"/>
      <w:r/>
      <w:bookmarkStart w:id="470" w:name="_Toc164229377"/>
      <w:r/>
      <w:bookmarkStart w:id="471" w:name="_Toc151193778"/>
      <w:r/>
      <w:bookmarkStart w:id="472" w:name="_Toc226337232"/>
      <w:r/>
      <w:bookmarkStart w:id="473" w:name="_Toc265228374"/>
      <w:r/>
      <w:bookmarkStart w:id="474" w:name="_Toc151193924"/>
      <w:r/>
      <w:bookmarkStart w:id="475" w:name="_Toc150774741"/>
      <w:r>
        <w:rPr>
          <w:rFonts w:hint="eastAsia" w:ascii="宋体" w:hAnsi="宋体" w:cs="宋体"/>
          <w:b/>
          <w:color w:val="000000"/>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76" w:name="_Toc151193779"/>
      <w:r/>
      <w:bookmarkStart w:id="477" w:name="_Toc305158879"/>
      <w:r/>
      <w:bookmarkStart w:id="478" w:name="_Toc164608806"/>
      <w:r/>
      <w:bookmarkStart w:id="479" w:name="_Toc151193925"/>
      <w:r/>
      <w:bookmarkStart w:id="480" w:name="_Toc164608651"/>
      <w:r/>
      <w:bookmarkStart w:id="481" w:name="_Toc151193635"/>
      <w:r/>
      <w:bookmarkStart w:id="482" w:name="_Toc226309781"/>
      <w:r/>
      <w:bookmarkStart w:id="483" w:name="_Toc150774742"/>
      <w:r/>
      <w:bookmarkStart w:id="484" w:name="_Toc127161451"/>
      <w:r/>
      <w:bookmarkStart w:id="485" w:name="_Toc195842902"/>
      <w:r/>
      <w:bookmarkStart w:id="486" w:name="_Toc142311039"/>
      <w:r/>
      <w:bookmarkStart w:id="487" w:name="_Toc226965810"/>
      <w:r/>
      <w:bookmarkStart w:id="488" w:name="_Toc226337233"/>
      <w:r/>
      <w:bookmarkStart w:id="489" w:name="_Toc305158805"/>
      <w:r/>
      <w:bookmarkStart w:id="490" w:name="_Toc151190164"/>
      <w:r/>
      <w:bookmarkStart w:id="491" w:name="_Toc164229378"/>
      <w:r/>
      <w:bookmarkStart w:id="492" w:name="_Toc520356162"/>
      <w:r/>
      <w:bookmarkStart w:id="493" w:name="_Toc127151537"/>
      <w:r/>
      <w:bookmarkStart w:id="494" w:name="_Toc265228375"/>
      <w:r/>
      <w:bookmarkStart w:id="495" w:name="_Toc151193851"/>
      <w:r/>
      <w:bookmarkStart w:id="496" w:name="_Toc127151738"/>
      <w:r/>
      <w:bookmarkStart w:id="497" w:name="_Toc150774637"/>
      <w:r/>
      <w:bookmarkStart w:id="498" w:name="_Toc150480775"/>
      <w:r/>
      <w:bookmarkStart w:id="499" w:name="_Toc151193707"/>
      <w:r/>
      <w:bookmarkStart w:id="500" w:name="_Toc150509288"/>
      <w:r/>
      <w:bookmarkStart w:id="501" w:name="_Toc164351631"/>
      <w:r/>
      <w:bookmarkStart w:id="502" w:name="_Toc226965727"/>
      <w:r/>
      <w:bookmarkStart w:id="503" w:name="_Toc164229232"/>
      <w:r/>
      <w:bookmarkStart w:id="504" w:name="_Toc264969227"/>
      <w:r/>
      <w:bookmarkStart w:id="505" w:name="_Toc149720830"/>
      <w:r>
        <w:rPr>
          <w:rFonts w:hint="eastAsia" w:ascii="宋体" w:hAnsi="宋体" w:cs="宋体"/>
          <w:b/>
          <w:color w:val="000000"/>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06" w:name="_Toc195842903"/>
      <w:r/>
      <w:bookmarkStart w:id="507" w:name="_Toc226965728"/>
      <w:r/>
      <w:bookmarkStart w:id="508" w:name="_Toc520356163"/>
      <w:r/>
      <w:bookmarkStart w:id="509" w:name="_Toc150480776"/>
      <w:r/>
      <w:bookmarkStart w:id="510" w:name="_Toc150509289"/>
      <w:r/>
      <w:bookmarkStart w:id="511" w:name="_Toc226309782"/>
      <w:r/>
      <w:bookmarkStart w:id="512" w:name="_Toc305158880"/>
      <w:r/>
      <w:bookmarkStart w:id="513" w:name="_Toc151193636"/>
      <w:r/>
      <w:bookmarkStart w:id="514" w:name="_Toc150774743"/>
      <w:r/>
      <w:bookmarkStart w:id="515" w:name="_Toc150774638"/>
      <w:r/>
      <w:bookmarkStart w:id="516" w:name="_Toc151193780"/>
      <w:r/>
      <w:bookmarkStart w:id="517" w:name="_Toc151193708"/>
      <w:r/>
      <w:bookmarkStart w:id="518" w:name="_Toc264969228"/>
      <w:r/>
      <w:bookmarkStart w:id="519" w:name="_Toc151193852"/>
      <w:r/>
      <w:bookmarkStart w:id="520" w:name="_Toc142311040"/>
      <w:r/>
      <w:bookmarkStart w:id="521" w:name="_Toc151193926"/>
      <w:r/>
      <w:bookmarkStart w:id="522" w:name="_Toc265228376"/>
      <w:r/>
      <w:bookmarkStart w:id="523" w:name="_Toc127151538"/>
      <w:r/>
      <w:bookmarkStart w:id="524" w:name="_Toc151190165"/>
      <w:r/>
      <w:bookmarkStart w:id="525" w:name="_Toc226337234"/>
      <w:r/>
      <w:bookmarkStart w:id="526" w:name="_Toc226965811"/>
      <w:r/>
      <w:bookmarkStart w:id="527" w:name="_Toc305158806"/>
      <w:r>
        <w:rPr>
          <w:rFonts w:hint="eastAsia" w:ascii="宋体" w:hAnsi="宋体" w:eastAsia="宋体" w:cs="宋体"/>
          <w:color w:val="000000"/>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28" w:name="_Toc142311041"/>
      <w:r/>
      <w:bookmarkStart w:id="529" w:name="_Toc149720832"/>
      <w:r/>
      <w:bookmarkStart w:id="530" w:name="_Toc164351633"/>
      <w:r/>
      <w:bookmarkStart w:id="531" w:name="_Toc151193853"/>
      <w:r/>
      <w:bookmarkStart w:id="532" w:name="_Toc151193637"/>
      <w:r/>
      <w:bookmarkStart w:id="533" w:name="_Toc150509290"/>
      <w:r/>
      <w:bookmarkStart w:id="534" w:name="_Toc226965812"/>
      <w:r/>
      <w:bookmarkStart w:id="535" w:name="_Toc164608808"/>
      <w:r/>
      <w:bookmarkStart w:id="536" w:name="_Toc151193927"/>
      <w:r/>
      <w:bookmarkStart w:id="537" w:name="_Toc127151740"/>
      <w:r/>
      <w:bookmarkStart w:id="538" w:name="_Toc164229380"/>
      <w:r/>
      <w:bookmarkStart w:id="539" w:name="_Toc151190166"/>
      <w:r/>
      <w:bookmarkStart w:id="540" w:name="_Toc151193709"/>
      <w:r/>
      <w:bookmarkStart w:id="541" w:name="_Toc150480777"/>
      <w:r/>
      <w:bookmarkStart w:id="542" w:name="_Toc150774639"/>
      <w:r/>
      <w:bookmarkStart w:id="543" w:name="_Toc127151539"/>
      <w:r/>
      <w:bookmarkStart w:id="544" w:name="_Toc164229234"/>
      <w:r/>
      <w:bookmarkStart w:id="545" w:name="_Toc127161453"/>
      <w:r/>
      <w:bookmarkStart w:id="546" w:name="_Toc305158881"/>
      <w:r/>
      <w:bookmarkStart w:id="547" w:name="_Toc164608653"/>
      <w:r/>
      <w:bookmarkStart w:id="548" w:name="_Toc226309783"/>
      <w:r/>
      <w:bookmarkStart w:id="549" w:name="_Toc226337235"/>
      <w:r/>
      <w:bookmarkStart w:id="550" w:name="_Toc264969229"/>
      <w:r/>
      <w:bookmarkStart w:id="551" w:name="_Toc520356164"/>
      <w:r/>
      <w:bookmarkStart w:id="552" w:name="_Toc151193781"/>
      <w:r/>
      <w:bookmarkStart w:id="553" w:name="_Toc195842904"/>
      <w:r/>
      <w:bookmarkStart w:id="554" w:name="_Toc150774744"/>
      <w:r/>
      <w:bookmarkStart w:id="555" w:name="_Toc305158807"/>
      <w:r/>
      <w:bookmarkStart w:id="556" w:name="_Toc265228377"/>
      <w:r/>
      <w:bookmarkStart w:id="557" w:name="_Toc226965729"/>
      <w:r>
        <w:rPr>
          <w:rFonts w:hint="eastAsia" w:ascii="宋体" w:hAnsi="宋体" w:cs="宋体"/>
          <w:b/>
          <w:color w:val="000000"/>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58"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58"/>
      <w:r/>
      <w:bookmarkStart w:id="559" w:name="_Toc127161454"/>
      <w:r/>
      <w:bookmarkStart w:id="560" w:name="_Toc150774640"/>
      <w:r/>
      <w:bookmarkStart w:id="561" w:name="_Toc151193638"/>
      <w:r/>
      <w:bookmarkStart w:id="562" w:name="_Toc265228378"/>
      <w:r/>
      <w:bookmarkStart w:id="563" w:name="_Toc226965813"/>
      <w:r/>
      <w:bookmarkStart w:id="564" w:name="_Toc151193854"/>
      <w:r/>
      <w:bookmarkStart w:id="565" w:name="_Toc151193710"/>
      <w:r/>
      <w:bookmarkStart w:id="566" w:name="_Toc164608809"/>
      <w:r/>
      <w:bookmarkStart w:id="567" w:name="_Toc151190167"/>
      <w:r/>
      <w:bookmarkStart w:id="568" w:name="_Toc195842905"/>
      <w:r/>
      <w:bookmarkStart w:id="569" w:name="_Toc150774745"/>
      <w:r/>
      <w:bookmarkStart w:id="570" w:name="_Toc305158882"/>
      <w:r/>
      <w:bookmarkStart w:id="571" w:name="_Toc226309784"/>
      <w:r/>
      <w:bookmarkStart w:id="572" w:name="_Toc127151741"/>
      <w:r/>
      <w:bookmarkStart w:id="573" w:name="_Toc164351634"/>
      <w:r/>
      <w:bookmarkStart w:id="574" w:name="_Toc226965730"/>
      <w:r/>
      <w:bookmarkStart w:id="575" w:name="_Toc164229235"/>
      <w:r/>
      <w:bookmarkStart w:id="576" w:name="_Toc127151540"/>
      <w:r/>
      <w:bookmarkStart w:id="577" w:name="_Toc164229381"/>
      <w:r/>
      <w:bookmarkStart w:id="578" w:name="_Toc142311042"/>
      <w:r/>
      <w:bookmarkStart w:id="579" w:name="_Toc164608654"/>
      <w:r/>
      <w:bookmarkStart w:id="580" w:name="_Toc305158808"/>
      <w:r/>
      <w:bookmarkStart w:id="581" w:name="_Toc264969230"/>
      <w:r/>
      <w:bookmarkStart w:id="582" w:name="_Toc150480778"/>
      <w:r/>
      <w:bookmarkStart w:id="583" w:name="_Toc149720833"/>
      <w:r/>
      <w:bookmarkStart w:id="584" w:name="_Toc150509291"/>
      <w:r/>
      <w:bookmarkStart w:id="585" w:name="_Toc151193928"/>
      <w:r/>
      <w:bookmarkStart w:id="586" w:name="_Toc151193782"/>
      <w:r/>
      <w:bookmarkStart w:id="587" w:name="_Toc226337236"/>
      <w:r>
        <w:rPr>
          <w:rFonts w:hint="eastAsia" w:ascii="宋体" w:hAnsi="宋体" w:cs="宋体"/>
          <w:b/>
          <w:color w:val="000000"/>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88"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88"/>
      <w:r/>
      <w:bookmarkStart w:id="589"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90" w:name="_Toc151193715"/>
      <w:r/>
      <w:bookmarkStart w:id="591" w:name="_Toc305158813"/>
      <w:r/>
      <w:bookmarkStart w:id="592" w:name="_Toc151190172"/>
      <w:r/>
      <w:bookmarkStart w:id="593" w:name="_Toc142311047"/>
      <w:r/>
      <w:bookmarkStart w:id="594" w:name="_Toc151193787"/>
      <w:r/>
      <w:bookmarkStart w:id="595" w:name="_Toc305158887"/>
      <w:r/>
      <w:bookmarkStart w:id="596" w:name="_Toc150774645"/>
      <w:r/>
      <w:bookmarkStart w:id="597" w:name="_Toc151193643"/>
      <w:r/>
      <w:bookmarkStart w:id="598" w:name="_Toc265228383"/>
      <w:r/>
      <w:bookmarkStart w:id="599" w:name="_Toc127151545"/>
      <w:r/>
      <w:bookmarkStart w:id="600" w:name="_Toc195842910"/>
      <w:r/>
      <w:bookmarkStart w:id="601" w:name="_Toc150509296"/>
      <w:r/>
      <w:bookmarkStart w:id="602" w:name="_Toc226965818"/>
      <w:r/>
      <w:bookmarkStart w:id="603" w:name="_Toc264969235"/>
      <w:r/>
      <w:bookmarkStart w:id="604" w:name="_Toc226337241"/>
      <w:r/>
      <w:bookmarkStart w:id="605" w:name="_Toc151193859"/>
      <w:r/>
      <w:bookmarkStart w:id="606" w:name="_Toc151193933"/>
      <w:r/>
      <w:bookmarkStart w:id="607" w:name="_Toc150774750"/>
      <w:r/>
      <w:bookmarkStart w:id="608" w:name="_Toc226309789"/>
      <w:r/>
      <w:bookmarkStart w:id="609" w:name="_Toc226965735"/>
      <w:r/>
      <w:bookmarkStart w:id="610" w:name="_Toc150480783"/>
      <w:r>
        <w:rPr>
          <w:rFonts w:hint="eastAsia" w:ascii="宋体" w:hAnsi="宋体" w:eastAsia="宋体" w:cs="宋体"/>
          <w:color w:val="000000"/>
          <w:sz w:val="28"/>
          <w:highlight w:val="none"/>
        </w:rPr>
        <w:t xml:space="preserve">六   </w:t>
      </w:r>
      <w:bookmarkEnd w:id="589"/>
      <w:r>
        <w:rPr>
          <w:rFonts w:hint="eastAsia" w:ascii="宋体" w:hAnsi="宋体" w:eastAsia="宋体" w:cs="宋体"/>
          <w:color w:val="000000"/>
          <w:sz w:val="28"/>
          <w:highlight w:val="none"/>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26337243"/>
      <w:r/>
      <w:bookmarkStart w:id="612" w:name="_Toc164229388"/>
      <w:r/>
      <w:bookmarkStart w:id="613" w:name="_Toc195842912"/>
      <w:r/>
      <w:bookmarkStart w:id="614" w:name="_Toc150480785"/>
      <w:r/>
      <w:bookmarkStart w:id="615" w:name="_Toc226309791"/>
      <w:r/>
      <w:bookmarkStart w:id="616" w:name="_Toc264969237"/>
      <w:r/>
      <w:bookmarkStart w:id="617" w:name="_Toc150774647"/>
      <w:r/>
      <w:bookmarkStart w:id="618" w:name="_Toc151193861"/>
      <w:r/>
      <w:bookmarkStart w:id="619" w:name="_Toc305158889"/>
      <w:r/>
      <w:bookmarkStart w:id="620" w:name="_Toc265228385"/>
      <w:r/>
      <w:bookmarkStart w:id="621" w:name="_Toc164351641"/>
      <w:r/>
      <w:bookmarkStart w:id="622" w:name="_Toc151190174"/>
      <w:r/>
      <w:bookmarkStart w:id="623" w:name="_Toc150509298"/>
      <w:r/>
      <w:bookmarkStart w:id="624" w:name="_Toc226965820"/>
      <w:r/>
      <w:bookmarkStart w:id="625" w:name="_Toc127161461"/>
      <w:r/>
      <w:bookmarkStart w:id="626" w:name="_Toc142311049"/>
      <w:r/>
      <w:bookmarkStart w:id="627" w:name="_Toc150774752"/>
      <w:r/>
      <w:bookmarkStart w:id="628" w:name="_Toc164608816"/>
      <w:r/>
      <w:bookmarkStart w:id="629" w:name="_Toc164229242"/>
      <w:r/>
      <w:bookmarkStart w:id="630" w:name="_Toc305158815"/>
      <w:r/>
      <w:bookmarkStart w:id="631" w:name="_Toc151193789"/>
      <w:r/>
      <w:bookmarkStart w:id="632" w:name="_Toc127151547"/>
      <w:r/>
      <w:bookmarkStart w:id="633" w:name="_Toc149720840"/>
      <w:r/>
      <w:bookmarkStart w:id="634" w:name="_Toc151193935"/>
      <w:r/>
      <w:bookmarkStart w:id="635" w:name="_Toc226965737"/>
      <w:r/>
      <w:bookmarkStart w:id="636" w:name="_Toc151193717"/>
      <w:r/>
      <w:bookmarkStart w:id="637" w:name="_Toc164608661"/>
      <w:r/>
      <w:bookmarkStart w:id="638" w:name="_Toc127151748"/>
      <w:r/>
      <w:bookmarkStart w:id="639" w:name="_Toc15119364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0" w:name="_Toc127151750"/>
      <w:r/>
      <w:bookmarkStart w:id="641" w:name="_Toc150774649"/>
      <w:r/>
      <w:bookmarkStart w:id="642" w:name="_Toc151193863"/>
      <w:r/>
      <w:bookmarkStart w:id="643" w:name="_Toc305158817"/>
      <w:r/>
      <w:bookmarkStart w:id="644" w:name="_Toc265228387"/>
      <w:r/>
      <w:bookmarkStart w:id="645" w:name="_Toc149720842"/>
      <w:r/>
      <w:bookmarkStart w:id="646" w:name="_Toc150480787"/>
      <w:r/>
      <w:bookmarkStart w:id="647" w:name="_Toc142311051"/>
      <w:r/>
      <w:bookmarkStart w:id="648" w:name="_Ref467307090"/>
      <w:r/>
      <w:bookmarkStart w:id="649" w:name="_Ref467306425"/>
      <w:r/>
      <w:bookmarkStart w:id="650" w:name="_Toc520356176"/>
      <w:r/>
      <w:bookmarkStart w:id="651" w:name="_Toc151193937"/>
      <w:r/>
      <w:bookmarkStart w:id="652" w:name="_Toc226965822"/>
      <w:r/>
      <w:bookmarkStart w:id="653" w:name="_Toc226309793"/>
      <w:r/>
      <w:bookmarkStart w:id="654" w:name="_Toc150774754"/>
      <w:r/>
      <w:bookmarkStart w:id="655" w:name="_Toc226337245"/>
      <w:r/>
      <w:bookmarkStart w:id="656" w:name="_Toc151193647"/>
      <w:r/>
      <w:bookmarkStart w:id="657" w:name="_Toc305158891"/>
      <w:r/>
      <w:bookmarkStart w:id="658" w:name="_Toc127161463"/>
      <w:r/>
      <w:bookmarkStart w:id="659" w:name="_Toc164608663"/>
      <w:r/>
      <w:bookmarkStart w:id="660" w:name="_Toc150509300"/>
      <w:r/>
      <w:bookmarkStart w:id="661" w:name="_Toc151193719"/>
      <w:r/>
      <w:bookmarkStart w:id="662" w:name="_Toc164229244"/>
      <w:r/>
      <w:bookmarkStart w:id="663" w:name="_Toc151190176"/>
      <w:r/>
      <w:bookmarkStart w:id="664" w:name="_Toc164608818"/>
      <w:r/>
      <w:bookmarkStart w:id="665" w:name="_Toc264969239"/>
      <w:r/>
      <w:bookmarkStart w:id="666" w:name="_Toc195842914"/>
      <w:r/>
      <w:bookmarkStart w:id="667" w:name="_Toc226965739"/>
      <w:r/>
      <w:bookmarkStart w:id="668" w:name="_Toc164351643"/>
      <w:r/>
      <w:bookmarkStart w:id="669" w:name="_Toc164229390"/>
      <w:r/>
      <w:bookmarkStart w:id="670" w:name="_Toc151193791"/>
      <w:r/>
      <w:bookmarkStart w:id="671" w:name="_Toc127151549"/>
      <w:r>
        <w:rPr>
          <w:rFonts w:hint="eastAsia" w:ascii="宋体" w:hAnsi="宋体" w:cs="宋体"/>
          <w:b/>
          <w:color w:val="000000"/>
          <w:sz w:val="24"/>
          <w:highlight w:val="none"/>
        </w:rPr>
        <w:t xml:space="preserve">中标公告与中标通知书</w:t>
      </w:r>
      <w:bookmarkEnd w:id="643"/>
      <w:r/>
      <w:bookmarkEnd w:id="65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51193938"/>
      <w:r/>
      <w:bookmarkStart w:id="673" w:name="_Toc226309794"/>
      <w:r/>
      <w:bookmarkStart w:id="674" w:name="_Toc151193720"/>
      <w:r/>
      <w:bookmarkStart w:id="675" w:name="_Toc305158892"/>
      <w:r/>
      <w:bookmarkStart w:id="676" w:name="_Ref467307062"/>
      <w:r/>
      <w:bookmarkStart w:id="677" w:name="_Toc150509301"/>
      <w:r/>
      <w:bookmarkStart w:id="678" w:name="_Toc520356175"/>
      <w:r/>
      <w:bookmarkStart w:id="679" w:name="_Ref467306978"/>
      <w:r/>
      <w:bookmarkStart w:id="680" w:name="_Toc164229245"/>
      <w:r/>
      <w:bookmarkStart w:id="681" w:name="_Toc164608664"/>
      <w:r/>
      <w:bookmarkStart w:id="682" w:name="_Toc195842915"/>
      <w:r/>
      <w:bookmarkStart w:id="683" w:name="_Ref467306377"/>
      <w:r/>
      <w:bookmarkStart w:id="684" w:name="_Toc226965823"/>
      <w:r/>
      <w:bookmarkStart w:id="685" w:name="_Toc150480788"/>
      <w:r/>
      <w:bookmarkStart w:id="686" w:name="_Ref467307204"/>
      <w:r/>
      <w:bookmarkStart w:id="687" w:name="_Toc151193792"/>
      <w:r/>
      <w:bookmarkStart w:id="688" w:name="_Toc127151550"/>
      <w:r/>
      <w:bookmarkStart w:id="689" w:name="_Toc149720843"/>
      <w:r/>
      <w:bookmarkStart w:id="690" w:name="_Toc164229391"/>
      <w:r/>
      <w:bookmarkStart w:id="691" w:name="_Toc142311052"/>
      <w:r/>
      <w:bookmarkStart w:id="692" w:name="_Toc127151751"/>
      <w:r/>
      <w:bookmarkStart w:id="693" w:name="_Toc226965740"/>
      <w:r/>
      <w:bookmarkStart w:id="694" w:name="_Toc164608819"/>
      <w:r/>
      <w:bookmarkStart w:id="695" w:name="_Toc265228388"/>
      <w:r/>
      <w:bookmarkStart w:id="696" w:name="_Toc151193648"/>
      <w:r/>
      <w:bookmarkStart w:id="697" w:name="_Toc127161464"/>
      <w:r/>
      <w:bookmarkStart w:id="698" w:name="_Toc150774755"/>
      <w:r/>
      <w:bookmarkStart w:id="699" w:name="_Toc226337246"/>
      <w:r/>
      <w:bookmarkStart w:id="700" w:name="_Toc150774650"/>
      <w:r/>
      <w:bookmarkStart w:id="701" w:name="_Toc151190177"/>
      <w:r/>
      <w:bookmarkStart w:id="702" w:name="_Toc305158818"/>
      <w:r/>
      <w:bookmarkStart w:id="703" w:name="_Toc164351644"/>
      <w:r/>
      <w:bookmarkStart w:id="704" w:name="_Toc151193864"/>
      <w:r/>
      <w:bookmarkStart w:id="705" w:name="_Toc264969240"/>
      <w:r>
        <w:rPr>
          <w:rFonts w:hint="eastAsia" w:ascii="宋体" w:hAnsi="宋体" w:cs="宋体"/>
          <w:b/>
          <w:color w:val="000000"/>
          <w:sz w:val="24"/>
          <w:highlight w:val="none"/>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8"/>
      <w:r/>
      <w:bookmarkEnd w:id="649"/>
      <w:r/>
      <w:bookmarkEnd w:id="650"/>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06" w:name="_Hlt100654014"/>
      <w:r>
        <w:rPr>
          <w:rStyle w:val="1146"/>
          <w:rFonts w:hint="eastAsia" w:ascii="宋体" w:hAnsi="宋体" w:cs="宋体"/>
          <w:color w:val="000000"/>
          <w:highlight w:val="none"/>
        </w:rPr>
        <w:t xml:space="preserve">s</w:t>
      </w:r>
      <w:bookmarkEnd w:id="706"/>
      <w:r>
        <w:rPr>
          <w:rStyle w:val="1146"/>
          <w:rFonts w:hint="eastAsia" w:ascii="宋体" w:hAnsi="宋体" w:cs="宋体"/>
          <w:color w:val="000000"/>
          <w:highlight w:val="none"/>
        </w:rPr>
        <w:t xml:space="preserve">.m</w:t>
      </w:r>
      <w:bookmarkStart w:id="707" w:name="_Hlt100653994"/>
      <w:r/>
      <w:bookmarkStart w:id="708" w:name="_Hlt100653993"/>
      <w:r>
        <w:rPr>
          <w:rStyle w:val="1146"/>
          <w:rFonts w:hint="eastAsia" w:ascii="宋体" w:hAnsi="宋体" w:cs="宋体"/>
          <w:color w:val="000000"/>
          <w:highlight w:val="none"/>
        </w:rPr>
        <w:t xml:space="preserve">o</w:t>
      </w:r>
      <w:bookmarkEnd w:id="707"/>
      <w:r/>
      <w:bookmarkEnd w:id="708"/>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09" w:name="_Toc353873664"/>
      <w:r/>
      <w:bookmarkStart w:id="710" w:name="_Toc353873934"/>
      <w:r/>
      <w:bookmarkStart w:id="711" w:name="_Toc127151554"/>
      <w:r/>
      <w:bookmarkStart w:id="712" w:name="_Toc305158822"/>
      <w:r/>
      <w:bookmarkStart w:id="713" w:name="_Toc150774759"/>
      <w:r/>
      <w:bookmarkStart w:id="714" w:name="_Toc150480792"/>
      <w:r/>
      <w:bookmarkStart w:id="715" w:name="_Toc265228392"/>
      <w:r/>
      <w:bookmarkStart w:id="716" w:name="_Toc264969244"/>
      <w:r/>
      <w:bookmarkStart w:id="717" w:name="_Toc353825544"/>
      <w:r/>
      <w:bookmarkStart w:id="718" w:name="_Toc305158896"/>
      <w:r/>
      <w:bookmarkStart w:id="719" w:name="_Toc226965827"/>
      <w:r/>
      <w:bookmarkStart w:id="720" w:name="_Toc142311056"/>
      <w:r/>
      <w:bookmarkStart w:id="721" w:name="_Toc226337250"/>
      <w:r>
        <w:rPr>
          <w:rFonts w:hint="eastAsia" w:ascii="宋体" w:hAnsi="宋体" w:cs="宋体"/>
          <w:color w:val="000000"/>
          <w:sz w:val="24"/>
          <w:highlight w:val="none"/>
        </w:rPr>
        <w:br w:type="page" w:clear="all"/>
      </w:r>
      <w:bookmarkStart w:id="722" w:name="_Toc99301421"/>
      <w:r>
        <w:rPr>
          <w:rFonts w:hint="eastAsia" w:ascii="宋体" w:hAnsi="宋体" w:cs="宋体"/>
          <w:b/>
          <w:color w:val="000000"/>
          <w:sz w:val="36"/>
          <w:szCs w:val="36"/>
          <w:highlight w:val="none"/>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ascii="宋体" w:hAnsi="宋体" w:cs="宋体"/>
          <w:b/>
          <w:color w:val="000000"/>
          <w:sz w:val="36"/>
          <w:szCs w:val="36"/>
          <w:highlight w:val="none"/>
        </w:rPr>
        <w:t xml:space="preserve">资格审查</w:t>
      </w:r>
      <w:bookmarkEnd w:id="722"/>
      <w:r/>
      <w:bookmarkStart w:id="723"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4" w:name="_Toc99301422"/>
      <w:r>
        <w:rPr>
          <w:rFonts w:hint="eastAsia" w:ascii="宋体" w:hAnsi="宋体" w:cs="宋体"/>
          <w:b/>
          <w:color w:val="000000"/>
          <w:sz w:val="24"/>
          <w:highlight w:val="none"/>
        </w:rPr>
        <w:t xml:space="preserve">一、资格审查程序</w:t>
      </w:r>
      <w:bookmarkEnd w:id="724"/>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25" w:name="_Hlt487972895"/>
            <w:r/>
            <w:bookmarkEnd w:id="72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51779"/>
      <w:r/>
      <w:bookmarkStart w:id="727" w:name="_Toc353825550"/>
      <w:r/>
      <w:bookmarkStart w:id="728" w:name="_Toc127161490"/>
      <w:r/>
      <w:bookmarkStart w:id="729" w:name="_Toc226965858"/>
      <w:r/>
      <w:bookmarkStart w:id="730"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1" w:name="_Toc99301423"/>
      <w:r>
        <w:rPr>
          <w:rFonts w:hint="eastAsia" w:ascii="宋体" w:hAnsi="宋体" w:cs="宋体"/>
          <w:b/>
          <w:color w:val="000000"/>
          <w:sz w:val="36"/>
          <w:szCs w:val="36"/>
          <w:highlight w:val="none"/>
        </w:rPr>
        <w:t xml:space="preserve">第四章   </w:t>
      </w:r>
      <w:bookmarkEnd w:id="726"/>
      <w:r/>
      <w:bookmarkEnd w:id="727"/>
      <w:r/>
      <w:bookmarkEnd w:id="728"/>
      <w:r/>
      <w:bookmarkEnd w:id="729"/>
      <w:r/>
      <w:bookmarkEnd w:id="730"/>
      <w:r/>
      <w:bookmarkStart w:id="732" w:name="_Hlt164229061"/>
      <w:r/>
      <w:bookmarkEnd w:id="732"/>
      <w:r>
        <w:rPr>
          <w:rFonts w:hint="eastAsia" w:ascii="宋体" w:hAnsi="宋体" w:cs="宋体"/>
          <w:b/>
          <w:color w:val="000000"/>
          <w:sz w:val="36"/>
          <w:szCs w:val="36"/>
          <w:highlight w:val="none"/>
        </w:rPr>
        <w:t xml:space="preserve">评标程序、评标方法和评标标准</w:t>
      </w:r>
      <w:bookmarkEnd w:id="731"/>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3" w:name="_Toc226337237"/>
      <w:r/>
      <w:bookmarkStart w:id="734" w:name="_Toc127151742"/>
      <w:r/>
      <w:bookmarkStart w:id="735" w:name="_Toc150774641"/>
      <w:r/>
      <w:bookmarkStart w:id="736" w:name="_Toc150509292"/>
      <w:r/>
      <w:bookmarkStart w:id="737" w:name="_Toc151193639"/>
      <w:r/>
      <w:bookmarkStart w:id="738" w:name="_Toc264969231"/>
      <w:r/>
      <w:bookmarkStart w:id="739" w:name="_Toc150774746"/>
      <w:r/>
      <w:bookmarkStart w:id="740" w:name="_Toc305158883"/>
      <w:r/>
      <w:bookmarkStart w:id="741" w:name="_Toc164608810"/>
      <w:r/>
      <w:bookmarkStart w:id="742" w:name="_Toc265228379"/>
      <w:r/>
      <w:bookmarkStart w:id="743" w:name="_Toc127161455"/>
      <w:r/>
      <w:bookmarkStart w:id="744" w:name="_Toc164351635"/>
      <w:r/>
      <w:bookmarkStart w:id="745" w:name="_Toc149720834"/>
      <w:r/>
      <w:bookmarkStart w:id="746" w:name="_Toc150480779"/>
      <w:r/>
      <w:bookmarkStart w:id="747" w:name="_Toc226309785"/>
      <w:r/>
      <w:bookmarkStart w:id="748" w:name="_Toc164229236"/>
      <w:r/>
      <w:bookmarkStart w:id="749" w:name="_Toc226965731"/>
      <w:r/>
      <w:bookmarkStart w:id="750" w:name="_Toc195842906"/>
      <w:r/>
      <w:bookmarkStart w:id="751" w:name="_Toc226965814"/>
      <w:r/>
      <w:bookmarkStart w:id="752" w:name="_Toc151193855"/>
      <w:r/>
      <w:bookmarkStart w:id="753" w:name="_Toc164229382"/>
      <w:r/>
      <w:bookmarkStart w:id="754" w:name="_Toc127151541"/>
      <w:r/>
      <w:bookmarkStart w:id="755" w:name="_Toc305158809"/>
      <w:r/>
      <w:bookmarkStart w:id="756" w:name="_Toc151193929"/>
      <w:r/>
      <w:bookmarkStart w:id="757" w:name="_Toc151190168"/>
      <w:r/>
      <w:bookmarkStart w:id="758" w:name="_Toc151193711"/>
      <w:r/>
      <w:bookmarkStart w:id="759" w:name="_Toc151193783"/>
      <w:r/>
      <w:bookmarkStart w:id="760" w:name="_Toc142311043"/>
      <w:r/>
      <w:bookmarkStart w:id="761" w:name="_Toc164608655"/>
      <w:r/>
      <w:bookmarkStart w:id="762" w:name="_Toc353873941"/>
      <w:r/>
      <w:bookmarkStart w:id="763" w:name="_Toc353825551"/>
      <w:r/>
      <w:bookmarkStart w:id="764" w:name="_Toc353873665"/>
      <w:r/>
      <w:bookmarkStart w:id="765" w:name="_Toc226965828"/>
      <w:r/>
      <w:bookmarkStart w:id="766" w:name="_Toc195842920"/>
      <w:r/>
      <w:bookmarkStart w:id="767" w:name="_Toc353873935"/>
      <w:r/>
      <w:bookmarkStart w:id="768" w:name="_Toc305158823"/>
      <w:r/>
      <w:bookmarkStart w:id="769" w:name="_Toc265228393"/>
      <w:r/>
      <w:bookmarkStart w:id="770" w:name="_Toc353825545"/>
      <w:r/>
      <w:bookmarkStart w:id="771" w:name="_Toc150774760"/>
      <w:r/>
      <w:bookmarkStart w:id="772" w:name="_Toc127151555"/>
      <w:r/>
      <w:bookmarkStart w:id="773" w:name="_Toc264969245"/>
      <w:r/>
      <w:bookmarkStart w:id="774" w:name="_Toc305158897"/>
      <w:r/>
      <w:bookmarkStart w:id="775" w:name="_Toc150480793"/>
      <w:r/>
      <w:bookmarkStart w:id="776" w:name="_Toc226337251"/>
      <w:r/>
      <w:bookmarkStart w:id="777" w:name="_Toc142311057"/>
      <w:r>
        <w:rPr>
          <w:rFonts w:hint="eastAsia" w:ascii="宋体" w:hAnsi="宋体" w:cs="宋体"/>
          <w:b/>
          <w:color w:val="000000"/>
          <w:sz w:val="24"/>
          <w:highlight w:val="none"/>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78"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5"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1"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color w:val="000000"/>
                <w:sz w:val="24"/>
                <w:highlight w:val="none"/>
              </w:rPr>
            </w:pPr>
            <w:r>
              <w:rPr>
                <w:rFonts w:hint="eastAsia"/>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color w:val="000000"/>
                <w:sz w:val="24"/>
                <w:highlight w:val="none"/>
              </w:rPr>
            </w:r>
            <w:r/>
          </w:p>
          <w:p>
            <w:pPr>
              <w:pStyle w:val="1070"/>
              <w:jc w:val="left"/>
              <w:widowControl/>
              <w:rPr>
                <w:rFonts w:hint="eastAsia"/>
                <w:color w:val="000000"/>
                <w:sz w:val="24"/>
                <w:highlight w:val="none"/>
              </w:rPr>
            </w:pPr>
            <w:r>
              <w:rPr>
                <w:rFonts w:hint="eastAsia"/>
                <w:color w:val="000000"/>
                <w:sz w:val="24"/>
                <w:highlight w:val="none"/>
              </w:rPr>
              <w:t xml:space="preserve">1、投标（响应）报价低于采购项目预算50%的，即投标（响应）报价&lt;采购项目预算×50%；</w:t>
            </w:r>
            <w:r>
              <w:rPr>
                <w:rFonts w:hint="eastAsia"/>
                <w:color w:val="000000"/>
                <w:sz w:val="24"/>
                <w:highlight w:val="none"/>
              </w:rPr>
            </w:r>
            <w:r/>
          </w:p>
          <w:p>
            <w:pPr>
              <w:pStyle w:val="1070"/>
              <w:jc w:val="left"/>
              <w:widowControl/>
              <w:rPr>
                <w:rFonts w:hint="eastAsia"/>
                <w:color w:val="000000"/>
                <w:sz w:val="24"/>
                <w:highlight w:val="none"/>
              </w:rPr>
            </w:pPr>
            <w:r>
              <w:rPr>
                <w:rFonts w:hint="eastAsia"/>
                <w:color w:val="000000"/>
                <w:sz w:val="24"/>
                <w:highlight w:val="none"/>
              </w:rPr>
              <w:t xml:space="preserve">2、投标（响应）报价低于采购项目最高限价45%的，即投 标（响应）报价&lt;采购项目最高限价×45%；</w:t>
            </w:r>
            <w:r>
              <w:rPr>
                <w:rFonts w:hint="eastAsia"/>
                <w:color w:val="000000"/>
                <w:sz w:val="24"/>
                <w:highlight w:val="none"/>
              </w:rPr>
            </w:r>
            <w:r/>
          </w:p>
          <w:p>
            <w:pPr>
              <w:pStyle w:val="1070"/>
              <w:jc w:val="left"/>
              <w:widowControl/>
              <w:rPr>
                <w:rFonts w:hint="eastAsia"/>
                <w:color w:val="000000"/>
                <w:sz w:val="24"/>
                <w:highlight w:val="none"/>
              </w:rPr>
            </w:pPr>
            <w:r>
              <w:rPr>
                <w:rFonts w:hint="eastAsia"/>
                <w:color w:val="000000"/>
                <w:sz w:val="24"/>
                <w:highlight w:val="none"/>
              </w:rPr>
              <w:t xml:space="preserve">3、评审委员会认定的供应商报价过低、有可能影响产品质 量或者不能诚信履约的其他情形。</w:t>
            </w:r>
            <w:r>
              <w:rPr>
                <w:rFonts w:hint="eastAsia"/>
                <w:color w:val="000000"/>
                <w:sz w:val="24"/>
                <w:highlight w:val="none"/>
              </w:rPr>
            </w:r>
            <w:r/>
          </w:p>
          <w:p>
            <w:pPr>
              <w:pStyle w:val="1070"/>
              <w:jc w:val="left"/>
              <w:widowControl/>
              <w:rPr>
                <w:rFonts w:hint="eastAsia" w:ascii="宋体" w:hAnsi="宋体" w:cs="宋体"/>
                <w:color w:val="000000"/>
                <w:sz w:val="24"/>
                <w:highlight w:val="none"/>
              </w:rPr>
            </w:pPr>
            <w:r>
              <w:rPr>
                <w:rFonts w:hint="eastAsia"/>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97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1"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2"/>
      <w:r/>
      <w:bookmarkEnd w:id="76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79" w:name="_Ref467307010"/>
      <w:r/>
      <w:bookmarkStart w:id="780" w:name="_Toc150774751"/>
      <w:r/>
      <w:bookmarkStart w:id="781" w:name="_Toc149720839"/>
      <w:r/>
      <w:bookmarkStart w:id="782" w:name="_Toc150480784"/>
      <w:r/>
      <w:bookmarkStart w:id="783" w:name="_Toc264969236"/>
      <w:r/>
      <w:bookmarkStart w:id="784" w:name="_Toc151193716"/>
      <w:r/>
      <w:bookmarkStart w:id="785" w:name="_Toc226965736"/>
      <w:r/>
      <w:bookmarkStart w:id="786" w:name="_Toc520356170"/>
      <w:r/>
      <w:bookmarkStart w:id="787" w:name="_Toc164229387"/>
      <w:r/>
      <w:bookmarkStart w:id="788" w:name="_Toc226965819"/>
      <w:r/>
      <w:bookmarkStart w:id="789" w:name="_Toc151190173"/>
      <w:r/>
      <w:bookmarkStart w:id="790" w:name="_Toc127161460"/>
      <w:r/>
      <w:bookmarkStart w:id="791" w:name="_Toc142311048"/>
      <w:r/>
      <w:bookmarkStart w:id="792" w:name="_Toc305158814"/>
      <w:r/>
      <w:bookmarkStart w:id="793" w:name="_Toc127151747"/>
      <w:r/>
      <w:bookmarkStart w:id="794" w:name="_Toc164351640"/>
      <w:r/>
      <w:bookmarkStart w:id="795" w:name="_Toc195842911"/>
      <w:r/>
      <w:bookmarkStart w:id="796" w:name="_Toc151193934"/>
      <w:r/>
      <w:bookmarkStart w:id="797" w:name="_Toc150774646"/>
      <w:r/>
      <w:bookmarkStart w:id="798" w:name="_Toc305158888"/>
      <w:r/>
      <w:bookmarkStart w:id="799" w:name="_Toc164608660"/>
      <w:r/>
      <w:bookmarkStart w:id="800" w:name="_Toc164229241"/>
      <w:r/>
      <w:bookmarkStart w:id="801" w:name="_Toc226337242"/>
      <w:r/>
      <w:bookmarkStart w:id="802" w:name="_Toc150509297"/>
      <w:r/>
      <w:bookmarkStart w:id="803" w:name="_Toc265228384"/>
      <w:r/>
      <w:bookmarkStart w:id="804" w:name="_Toc127151546"/>
      <w:r/>
      <w:bookmarkStart w:id="805" w:name="_Toc151193644"/>
      <w:r/>
      <w:bookmarkStart w:id="806" w:name="_Toc226309790"/>
      <w:r/>
      <w:bookmarkStart w:id="807" w:name="_Toc151193860"/>
      <w:r/>
      <w:bookmarkStart w:id="808" w:name="_Toc164608815"/>
      <w:r/>
      <w:bookmarkStart w:id="809" w:name="_Toc151193788"/>
      <w:r>
        <w:rPr>
          <w:rFonts w:hint="eastAsia" w:ascii="宋体" w:hAnsi="宋体" w:cs="宋体"/>
          <w:b/>
          <w:color w:val="000000"/>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256"/>
        <w:gridCol w:w="881"/>
        <w:gridCol w:w="3702"/>
        <w:gridCol w:w="2490"/>
      </w:tblGrid>
      <w:tr>
        <w:trPr>
          <w:trHeight w:val="170"/>
        </w:trPr>
        <w:tc>
          <w:tcPr>
            <w:tcW w:w="516"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676"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474"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1992"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1339" w:type="dxa"/>
            <w:vAlign w:val="center"/>
            <w:textDirection w:val="lrTb"/>
            <w:noWrap w:val="false"/>
          </w:tcPr>
          <w:p>
            <w:pPr>
              <w:pStyle w:val="1315"/>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170"/>
        </w:trPr>
        <w:tc>
          <w:tcPr>
            <w:tcW w:w="516" w:type="dxa"/>
            <w:vAlign w:val="center"/>
            <w:textDirection w:val="lrTb"/>
            <w:noWrap w:val="false"/>
          </w:tcPr>
          <w:p>
            <w:pPr>
              <w:pStyle w:val="1070"/>
              <w:ind w:firstLine="28"/>
              <w:jc w:val="center"/>
              <w:rPr>
                <w:rFonts w:ascii="宋体" w:hAnsi="宋体"/>
                <w:b/>
                <w:color w:val="000000"/>
                <w:sz w:val="24"/>
                <w:highlight w:val="none"/>
              </w:rPr>
            </w:pPr>
            <w:r>
              <w:rPr>
                <w:rFonts w:hint="eastAsia" w:ascii="宋体" w:hAnsi="宋体"/>
                <w:bCs/>
                <w:color w:val="000000"/>
                <w:sz w:val="24"/>
                <w:highlight w:val="none"/>
              </w:rPr>
              <w:t xml:space="preserve">1</w:t>
            </w:r>
            <w:r>
              <w:rPr>
                <w:rFonts w:ascii="宋体" w:hAnsi="宋体"/>
                <w:b/>
                <w:color w:val="000000"/>
                <w:sz w:val="24"/>
                <w:highlight w:val="none"/>
              </w:rPr>
            </w:r>
            <w:r/>
          </w:p>
        </w:tc>
        <w:tc>
          <w:tcPr>
            <w:tcW w:w="676"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474"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30</w:t>
            </w:r>
            <w:r>
              <w:rPr>
                <w:rFonts w:ascii="宋体" w:hAnsi="宋体"/>
                <w:color w:val="000000"/>
                <w:sz w:val="24"/>
                <w:highlight w:val="none"/>
              </w:rPr>
            </w:r>
            <w:r/>
          </w:p>
        </w:tc>
        <w:tc>
          <w:tcPr>
            <w:tcW w:w="1992" w:type="dxa"/>
            <w:vAlign w:val="center"/>
            <w:textDirection w:val="lrTb"/>
            <w:noWrap w:val="false"/>
          </w:tcPr>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价格分采用低价优先法计算，即满足招标文件要求且招标价格最低的投标报价为评标基准价，其价格分为满分。其他投标人的价格分统一按照下列公式计算（计算结果四舍五入保留两位小数）：</w:t>
            </w:r>
            <w:r>
              <w:rPr>
                <w:rFonts w:ascii="宋体" w:hAnsi="宋体" w:cs="宋体"/>
                <w:color w:val="000000"/>
                <w:sz w:val="24"/>
                <w:highlight w:val="none"/>
              </w:rPr>
            </w:r>
            <w:r/>
          </w:p>
          <w:p>
            <w:pPr>
              <w:pStyle w:val="1070"/>
              <w:spacing w:line="360" w:lineRule="exact"/>
              <w:rPr>
                <w:rFonts w:ascii="宋体" w:hAnsi="宋体" w:cs="宋体"/>
                <w:b/>
                <w:color w:val="000000"/>
                <w:sz w:val="24"/>
                <w:highlight w:val="none"/>
              </w:rPr>
            </w:pPr>
            <w:r>
              <w:rPr>
                <w:rFonts w:hint="eastAsia" w:ascii="宋体" w:hAnsi="宋体" w:cs="宋体"/>
                <w:color w:val="000000"/>
                <w:sz w:val="24"/>
                <w:highlight w:val="none"/>
              </w:rPr>
              <w:t xml:space="preserve">投标报价得分=（评标基准价/磋商报价）*价格权重</w:t>
            </w:r>
            <w:r>
              <w:rPr>
                <w:rFonts w:ascii="宋体" w:hAnsi="宋体" w:cs="宋体"/>
                <w:b/>
                <w:color w:val="000000"/>
                <w:sz w:val="24"/>
                <w:highlight w:val="none"/>
              </w:rPr>
            </w:r>
            <w:r/>
          </w:p>
        </w:tc>
        <w:tc>
          <w:tcPr>
            <w:tcW w:w="1339" w:type="dxa"/>
            <w:vAlign w:val="center"/>
            <w:textDirection w:val="lrTb"/>
            <w:noWrap w:val="false"/>
          </w:tcPr>
          <w:p>
            <w:pPr>
              <w:pStyle w:val="107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此处最终报价指经过报价修正，及因落实政府采购政策进行价格调整后的最终报价，详见第四章《评标方法和评标标准》。</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676"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474"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28</w:t>
            </w:r>
            <w:r>
              <w:rPr>
                <w:rFonts w:ascii="宋体" w:hAnsi="宋体"/>
                <w:color w:val="000000"/>
                <w:sz w:val="24"/>
                <w:highlight w:val="none"/>
              </w:rPr>
            </w:r>
            <w:r/>
          </w:p>
        </w:tc>
        <w:tc>
          <w:tcPr>
            <w:tcW w:w="1992" w:type="dxa"/>
            <w:vAlign w:val="center"/>
            <w:textDirection w:val="lrTb"/>
            <w:noWrap w:val="false"/>
          </w:tcPr>
          <w:p>
            <w:pPr>
              <w:pStyle w:val="1070"/>
              <w:spacing w:line="360" w:lineRule="exact"/>
              <w:rPr>
                <w:rFonts w:ascii="宋体" w:hAnsi="宋体"/>
                <w:color w:val="000000"/>
                <w:sz w:val="24"/>
                <w:highlight w:val="none"/>
              </w:rPr>
            </w:pPr>
            <w:r>
              <w:rPr>
                <w:rFonts w:ascii="宋体" w:hAnsi="宋体"/>
                <w:color w:val="000000"/>
                <w:sz w:val="24"/>
                <w:highlight w:val="none"/>
              </w:rPr>
            </w:r>
            <w:r/>
          </w:p>
        </w:tc>
        <w:tc>
          <w:tcPr>
            <w:tcW w:w="1339" w:type="dxa"/>
            <w:vAlign w:val="center"/>
            <w:textDirection w:val="lrTb"/>
            <w:noWrap w:val="false"/>
          </w:tcPr>
          <w:p>
            <w:pPr>
              <w:pStyle w:val="1070"/>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0"/>
              <w:jc w:val="left"/>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W w:w="676" w:type="dxa"/>
            <w:vAlign w:val="center"/>
            <w:textDirection w:val="lrTb"/>
            <w:noWrap w:val="false"/>
          </w:tcPr>
          <w:p>
            <w:pPr>
              <w:pStyle w:val="1070"/>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项目实施方案</w:t>
            </w:r>
            <w:r>
              <w:rPr>
                <w:rFonts w:ascii="宋体" w:hAnsi="宋体" w:cs="宋体"/>
                <w:color w:val="000000"/>
                <w:sz w:val="24"/>
                <w:highlight w:val="none"/>
              </w:rPr>
            </w:r>
            <w:r/>
          </w:p>
        </w:tc>
        <w:tc>
          <w:tcPr>
            <w:tcW w:w="474"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992" w:type="dxa"/>
            <w:vAlign w:val="center"/>
            <w:textDirection w:val="lrTb"/>
            <w:noWrap w:val="false"/>
          </w:tcPr>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根据投标人提供的项目实施方案内容的完整性及进度计划安排的合理性进行打分，包括但不限于投标人如何在成交后有效地组织技术和人员力量，按时保质地完成供货、安装验收等。</w:t>
            </w:r>
            <w:r>
              <w:rPr>
                <w:rFonts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实施方案内容完整、进度计划安排合理、优于采购人需求的得5分；</w:t>
            </w:r>
            <w:r>
              <w:rPr>
                <w:rFonts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实施方案内容一般、进度计划安排一般、基本满足采购人需求的得3分；</w:t>
            </w:r>
            <w:r>
              <w:rPr>
                <w:rFonts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实施方案内容较少、进度计划安排不合理、不能很好满足采购人需求的得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不提供不得分。</w:t>
            </w:r>
            <w:r>
              <w:rPr>
                <w:rFonts w:ascii="宋体" w:hAnsi="宋体" w:cs="宋体"/>
                <w:color w:val="000000"/>
                <w:sz w:val="24"/>
                <w:highlight w:val="none"/>
              </w:rPr>
            </w:r>
            <w:r/>
          </w:p>
        </w:tc>
        <w:tc>
          <w:tcPr>
            <w:tcW w:w="1339" w:type="dxa"/>
            <w:vAlign w:val="center"/>
            <w:textDirection w:val="lrTb"/>
            <w:noWrap w:val="false"/>
          </w:tcPr>
          <w:p>
            <w:pPr>
              <w:pStyle w:val="1070"/>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0"/>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2.2</w:t>
            </w:r>
            <w:r>
              <w:rPr>
                <w:rFonts w:ascii="宋体" w:hAnsi="宋体" w:cs="宋体"/>
                <w:color w:val="000000"/>
                <w:sz w:val="24"/>
                <w:highlight w:val="none"/>
              </w:rPr>
            </w:r>
            <w:r/>
          </w:p>
        </w:tc>
        <w:tc>
          <w:tcPr>
            <w:tcW w:w="676"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产品质量保障方案</w:t>
            </w:r>
            <w:r>
              <w:rPr>
                <w:rFonts w:hint="eastAsia" w:ascii="宋体" w:hAnsi="宋体" w:cs="宋体"/>
                <w:color w:val="000000"/>
                <w:sz w:val="24"/>
                <w:highlight w:val="none"/>
              </w:rPr>
            </w:r>
            <w:r/>
          </w:p>
        </w:tc>
        <w:tc>
          <w:tcPr>
            <w:tcW w:w="474"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s="宋体"/>
                <w:color w:val="000000"/>
                <w:sz w:val="24"/>
                <w:highlight w:val="none"/>
                <w:lang w:bidi="ar"/>
              </w:rPr>
              <w:t xml:space="preserve">5</w:t>
            </w:r>
            <w:r>
              <w:rPr>
                <w:rFonts w:ascii="宋体" w:hAnsi="宋体"/>
                <w:color w:val="000000"/>
                <w:sz w:val="24"/>
                <w:highlight w:val="none"/>
              </w:rPr>
            </w:r>
            <w:r/>
          </w:p>
        </w:tc>
        <w:tc>
          <w:tcPr>
            <w:tcW w:w="1992" w:type="dxa"/>
            <w:vAlign w:val="center"/>
            <w:textDirection w:val="lrTb"/>
            <w:noWrap w:val="false"/>
          </w:tcPr>
          <w:p>
            <w:pPr>
              <w:pStyle w:val="1070"/>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cs="宋体"/>
                <w:color w:val="000000"/>
                <w:sz w:val="24"/>
                <w:highlight w:val="none"/>
              </w:rPr>
            </w:r>
            <w:r/>
          </w:p>
        </w:tc>
        <w:tc>
          <w:tcPr>
            <w:tcW w:w="1339" w:type="dxa"/>
            <w:vAlign w:val="center"/>
            <w:textDirection w:val="lrTb"/>
            <w:noWrap w:val="false"/>
          </w:tcPr>
          <w:p>
            <w:pPr>
              <w:pStyle w:val="1070"/>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676" w:type="dxa"/>
            <w:vAlign w:val="center"/>
            <w:textDirection w:val="lrTb"/>
            <w:noWrap w:val="false"/>
          </w:tcPr>
          <w:p>
            <w:pPr>
              <w:pStyle w:val="1250"/>
              <w:jc w:val="center"/>
              <w:spacing w:line="360" w:lineRule="exact"/>
              <w:rPr>
                <w:rFonts w:ascii="宋体" w:hAnsi="宋体" w:cs="宋体"/>
                <w:color w:val="000000"/>
                <w:highlight w:val="none"/>
              </w:rPr>
            </w:pPr>
            <w:r>
              <w:rPr>
                <w:rFonts w:hint="eastAsia" w:ascii="宋体" w:hAnsi="宋体" w:cs="宋体"/>
                <w:color w:val="000000"/>
                <w:highlight w:val="none"/>
              </w:rPr>
              <w:t xml:space="preserve">培训方案</w:t>
            </w:r>
            <w:r>
              <w:rPr>
                <w:rFonts w:ascii="宋体" w:hAnsi="宋体" w:cs="宋体"/>
                <w:color w:val="000000"/>
                <w:highlight w:val="none"/>
              </w:rPr>
            </w:r>
            <w:r/>
          </w:p>
        </w:tc>
        <w:tc>
          <w:tcPr>
            <w:tcW w:w="474"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2" w:type="dxa"/>
            <w:vAlign w:val="center"/>
            <w:textDirection w:val="lrTb"/>
            <w:noWrap w:val="false"/>
          </w:tcPr>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投标人培训方案情况比较：包括培训步骤、培训计划、培训记录表等。</w:t>
            </w:r>
            <w:r>
              <w:rPr>
                <w:rFonts w:ascii="宋体" w:hAnsi="宋体" w:cs="宋体"/>
                <w:color w:val="000000"/>
                <w:highlight w:val="none"/>
              </w:rPr>
            </w:r>
            <w:r/>
          </w:p>
          <w:p>
            <w:pPr>
              <w:pStyle w:val="1070"/>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培训方案详细具体，可行性高，优于项目需求的得5分；</w:t>
            </w:r>
            <w:r>
              <w:rPr>
                <w:rFonts w:ascii="宋体" w:hAnsi="宋体" w:cs="宋体"/>
                <w:color w:val="000000"/>
                <w:sz w:val="24"/>
                <w:highlight w:val="none"/>
              </w:rPr>
            </w:r>
            <w:r/>
          </w:p>
          <w:p>
            <w:pPr>
              <w:pStyle w:val="1070"/>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培训方案较为详细具体，可行性较高，满足项目需求的得3分；</w:t>
            </w:r>
            <w:r>
              <w:rPr>
                <w:rFonts w:ascii="宋体" w:hAnsi="宋体" w:cs="宋体"/>
                <w:color w:val="000000"/>
                <w:sz w:val="24"/>
                <w:highlight w:val="none"/>
              </w:rPr>
            </w:r>
            <w:r/>
          </w:p>
          <w:p>
            <w:pPr>
              <w:pStyle w:val="1070"/>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ascii="宋体" w:hAnsi="宋体" w:cs="宋体"/>
                <w:color w:val="000000"/>
                <w:sz w:val="24"/>
                <w:highlight w:val="none"/>
              </w:rPr>
            </w:r>
            <w:r/>
          </w:p>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39" w:type="dxa"/>
            <w:vAlign w:val="center"/>
            <w:textDirection w:val="lrTb"/>
            <w:noWrap w:val="false"/>
          </w:tcPr>
          <w:p>
            <w:pPr>
              <w:pStyle w:val="1070"/>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76" w:type="dxa"/>
            <w:vAlign w:val="center"/>
            <w:textDirection w:val="lrTb"/>
            <w:noWrap w:val="false"/>
          </w:tcPr>
          <w:p>
            <w:pPr>
              <w:pStyle w:val="1070"/>
              <w:jc w:val="left"/>
              <w:widowControl/>
              <w:rPr>
                <w:rFonts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ascii="宋体" w:hAnsi="宋体" w:cs="宋体"/>
                <w:color w:val="000000"/>
                <w:sz w:val="24"/>
                <w:highlight w:val="none"/>
              </w:rPr>
            </w:r>
            <w:r/>
          </w:p>
        </w:tc>
        <w:tc>
          <w:tcPr>
            <w:tcW w:w="47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2" w:type="dxa"/>
            <w:vAlign w:val="center"/>
            <w:textDirection w:val="lrTb"/>
            <w:noWrap w:val="false"/>
          </w:tcPr>
          <w:p>
            <w:pPr>
              <w:pStyle w:val="1070"/>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针对本项目制定的售后服务管理体系方案，包括售后服务人员、服务机制、响应时间、故障解决等内容的合理性和可行性。</w:t>
            </w:r>
            <w:r>
              <w:rPr>
                <w:rFonts w:ascii="宋体" w:hAnsi="宋体" w:cs="宋体"/>
                <w:color w:val="000000"/>
                <w:sz w:val="24"/>
                <w:highlight w:val="none"/>
              </w:rPr>
            </w:r>
            <w:r/>
          </w:p>
          <w:p>
            <w:pPr>
              <w:pStyle w:val="1070"/>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售后服务方案完整合理，可行性高，优于项目需求的得4分；</w:t>
            </w:r>
            <w:r>
              <w:rPr>
                <w:rFonts w:ascii="宋体" w:hAnsi="宋体" w:cs="宋体"/>
                <w:color w:val="000000"/>
                <w:sz w:val="24"/>
                <w:highlight w:val="none"/>
              </w:rPr>
            </w:r>
            <w:r/>
          </w:p>
          <w:p>
            <w:pPr>
              <w:pStyle w:val="1070"/>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售后服务方案较为完整合理，可行性较高，满足项目需求的得2.5分；</w:t>
            </w:r>
            <w:r>
              <w:rPr>
                <w:rFonts w:ascii="宋体" w:hAnsi="宋体" w:cs="宋体"/>
                <w:color w:val="000000"/>
                <w:sz w:val="24"/>
                <w:highlight w:val="none"/>
              </w:rPr>
            </w:r>
            <w:r/>
          </w:p>
          <w:p>
            <w:pPr>
              <w:pStyle w:val="1070"/>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售后服务方案不够完整合理，可行性较低，不能完全满足项目需求的得1分；</w:t>
            </w:r>
            <w:r>
              <w:rPr>
                <w:rFonts w:ascii="宋体" w:hAnsi="宋体" w:cs="宋体"/>
                <w:color w:val="000000"/>
                <w:sz w:val="24"/>
                <w:highlight w:val="none"/>
              </w:rPr>
            </w:r>
            <w:r/>
          </w:p>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39" w:type="dxa"/>
            <w:vAlign w:val="center"/>
            <w:textDirection w:val="lrTb"/>
            <w:noWrap w:val="false"/>
          </w:tcPr>
          <w:p>
            <w:pPr>
              <w:pStyle w:val="1070"/>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76" w:type="dxa"/>
            <w:vAlign w:val="center"/>
            <w:textDirection w:val="lrTb"/>
            <w:noWrap w:val="false"/>
          </w:tcPr>
          <w:p>
            <w:pPr>
              <w:pStyle w:val="1070"/>
              <w:jc w:val="left"/>
              <w:widowControl/>
              <w:rPr>
                <w:rFonts w:ascii="宋体" w:hAnsi="宋体" w:cs="宋体"/>
                <w:color w:val="000000"/>
                <w:sz w:val="24"/>
                <w:highlight w:val="none"/>
              </w:rPr>
            </w:pPr>
            <w:r>
              <w:rPr>
                <w:rFonts w:hint="eastAsia" w:ascii="宋体" w:hAnsi="宋体" w:cs="宋体"/>
                <w:color w:val="000000"/>
                <w:sz w:val="24"/>
                <w:highlight w:val="none"/>
              </w:rPr>
              <w:t xml:space="preserve">质保期满后维保收费及内容比较</w:t>
            </w:r>
            <w:r>
              <w:rPr>
                <w:rFonts w:ascii="宋体" w:hAnsi="宋体" w:cs="宋体"/>
                <w:color w:val="000000"/>
                <w:sz w:val="24"/>
                <w:highlight w:val="none"/>
              </w:rPr>
            </w:r>
            <w:r/>
          </w:p>
        </w:tc>
        <w:tc>
          <w:tcPr>
            <w:tcW w:w="47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2" w:type="dxa"/>
            <w:vAlign w:val="center"/>
            <w:textDirection w:val="lrTb"/>
            <w:noWrap w:val="false"/>
          </w:tcPr>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质保期满后维保收费及内容比较：</w:t>
            </w:r>
            <w:r>
              <w:rPr>
                <w:rFonts w:ascii="宋体" w:hAnsi="宋体" w:cs="宋体"/>
                <w:color w:val="000000"/>
                <w:highlight w:val="none"/>
              </w:rPr>
            </w:r>
            <w:r/>
          </w:p>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提供零配件和维修备品备件的供应保障和维保期满后维保收费及维保方案内容完整清晰</w:t>
            </w:r>
            <w:r>
              <w:rPr>
                <w:rFonts w:hint="eastAsia" w:ascii="宋体" w:hAnsi="宋体" w:cs="宋体"/>
                <w:color w:val="000000"/>
                <w:highlight w:val="none"/>
              </w:rPr>
              <w:t xml:space="preserve">，优于项目需求的得4分；</w:t>
            </w:r>
            <w:r>
              <w:rPr>
                <w:rFonts w:ascii="宋体" w:hAnsi="宋体" w:cs="宋体"/>
                <w:color w:val="000000"/>
                <w:highlight w:val="none"/>
              </w:rPr>
            </w:r>
            <w:r/>
          </w:p>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零配件和维修备品备件的供应保障和维保期满后维保收费及维保方案内容较完整</w:t>
            </w:r>
            <w:r>
              <w:rPr>
                <w:rFonts w:hint="eastAsia" w:ascii="宋体" w:hAnsi="宋体" w:cs="宋体"/>
                <w:color w:val="000000"/>
                <w:highlight w:val="none"/>
              </w:rPr>
              <w:t xml:space="preserve">，满足项目需求的得2.5分；</w:t>
            </w:r>
            <w:r>
              <w:rPr>
                <w:rFonts w:ascii="宋体" w:hAnsi="宋体" w:cs="宋体"/>
                <w:color w:val="000000"/>
                <w:highlight w:val="none"/>
              </w:rPr>
            </w:r>
            <w:r/>
          </w:p>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零配件和维修备品备件的供应保障和维保期满后维保收费及维保方案内容介绍简单的得1分；</w:t>
            </w:r>
            <w:r>
              <w:rPr>
                <w:rFonts w:ascii="宋体" w:hAnsi="宋体" w:cs="宋体"/>
                <w:color w:val="000000"/>
                <w:highlight w:val="none"/>
              </w:rPr>
            </w:r>
            <w:r/>
          </w:p>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39" w:type="dxa"/>
            <w:vAlign w:val="center"/>
            <w:textDirection w:val="lrTb"/>
            <w:noWrap w:val="false"/>
          </w:tcPr>
          <w:p>
            <w:pPr>
              <w:pStyle w:val="1070"/>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olor w:val="000000"/>
                <w:sz w:val="24"/>
                <w:highlight w:val="none"/>
              </w:rPr>
              <w:t xml:space="preserve">2.6</w:t>
            </w:r>
            <w:r>
              <w:rPr>
                <w:rFonts w:hint="eastAsia" w:ascii="宋体" w:hAnsi="宋体" w:cs="宋体"/>
                <w:color w:val="000000"/>
                <w:sz w:val="24"/>
                <w:highlight w:val="none"/>
              </w:rPr>
            </w:r>
            <w:r/>
          </w:p>
        </w:tc>
        <w:tc>
          <w:tcPr>
            <w:tcW w:w="676" w:type="dxa"/>
            <w:vAlign w:val="center"/>
            <w:textDirection w:val="lrTb"/>
            <w:noWrap w:val="false"/>
          </w:tcPr>
          <w:p>
            <w:pPr>
              <w:pStyle w:val="1250"/>
              <w:jc w:val="center"/>
              <w:spacing w:line="360" w:lineRule="exact"/>
              <w:rPr>
                <w:rFonts w:ascii="宋体" w:hAnsi="宋体" w:cs="宋体"/>
                <w:color w:val="000000"/>
                <w:highlight w:val="none"/>
                <w:lang w:val="zh-CN"/>
              </w:rPr>
            </w:pPr>
            <w:r>
              <w:rPr>
                <w:rFonts w:hint="eastAsia" w:ascii="宋体" w:hAnsi="宋体" w:cs="宋体"/>
                <w:color w:val="000000"/>
                <w:highlight w:val="none"/>
                <w:lang w:val="zh-CN"/>
              </w:rPr>
              <w:t xml:space="preserve">投标</w:t>
            </w:r>
            <w:r>
              <w:rPr>
                <w:rFonts w:ascii="宋体" w:hAnsi="宋体" w:cs="宋体"/>
                <w:color w:val="000000"/>
                <w:highlight w:val="none"/>
                <w:lang w:val="zh-CN"/>
              </w:rPr>
              <w:t xml:space="preserve">设备</w:t>
            </w:r>
            <w:r>
              <w:rPr>
                <w:rFonts w:hint="eastAsia" w:ascii="宋体" w:hAnsi="宋体" w:cs="宋体"/>
                <w:color w:val="000000"/>
                <w:highlight w:val="none"/>
                <w:lang w:val="zh-CN"/>
              </w:rPr>
              <w:t xml:space="preserve">整体配置</w:t>
            </w:r>
            <w:r>
              <w:rPr>
                <w:rFonts w:ascii="宋体" w:hAnsi="宋体" w:cs="宋体"/>
                <w:color w:val="000000"/>
                <w:highlight w:val="none"/>
                <w:lang w:val="zh-CN"/>
              </w:rPr>
            </w:r>
            <w:r/>
          </w:p>
          <w:p>
            <w:pPr>
              <w:pStyle w:val="1250"/>
              <w:jc w:val="center"/>
              <w:spacing w:line="360" w:lineRule="exact"/>
              <w:rPr>
                <w:rFonts w:ascii="宋体" w:hAnsi="宋体" w:cs="宋体"/>
                <w:color w:val="000000"/>
                <w:highlight w:val="none"/>
              </w:rPr>
            </w:pPr>
            <w:r>
              <w:rPr>
                <w:rFonts w:hint="eastAsia" w:ascii="宋体" w:hAnsi="宋体" w:cs="宋体"/>
                <w:color w:val="000000"/>
                <w:highlight w:val="none"/>
                <w:lang w:val="zh-CN"/>
              </w:rPr>
              <w:t xml:space="preserve">情况比较</w:t>
            </w:r>
            <w:r>
              <w:rPr>
                <w:rFonts w:ascii="宋体" w:hAnsi="宋体" w:cs="宋体"/>
                <w:color w:val="000000"/>
                <w:highlight w:val="none"/>
              </w:rPr>
            </w:r>
            <w:r/>
          </w:p>
        </w:tc>
        <w:tc>
          <w:tcPr>
            <w:tcW w:w="474"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2" w:type="dxa"/>
            <w:vAlign w:val="center"/>
            <w:textDirection w:val="lrTb"/>
            <w:noWrap w:val="false"/>
          </w:tcPr>
          <w:p>
            <w:pPr>
              <w:pStyle w:val="107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投标设备整体配置选型情况综合比较，针对本项目的投标产品配置选型合理、先进，且与项目需求的吻合度高，得</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07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针对本项目的投标产品配置选型一般、且与项目需求的吻合度一般，得</w:t>
            </w: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07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针对本项目的投标产品配置选型差、且与项目需求的吻合度差，得1分；</w:t>
            </w:r>
            <w:r>
              <w:rPr>
                <w:rFonts w:ascii="宋体" w:hAnsi="宋体" w:cs="宋体"/>
                <w:color w:val="000000"/>
                <w:sz w:val="24"/>
                <w:highlight w:val="none"/>
                <w:lang w:val="zh-CN"/>
              </w:rPr>
            </w:r>
            <w:r/>
          </w:p>
          <w:p>
            <w:pPr>
              <w:pStyle w:val="1250"/>
              <w:spacing w:line="360" w:lineRule="exact"/>
              <w:rPr>
                <w:rFonts w:ascii="宋体" w:hAnsi="宋体" w:cs="宋体"/>
                <w:color w:val="000000"/>
                <w:highlight w:val="none"/>
              </w:rPr>
            </w:pPr>
            <w:r>
              <w:rPr>
                <w:rFonts w:hint="eastAsia" w:ascii="宋体" w:hAnsi="宋体" w:cs="宋体"/>
                <w:color w:val="000000"/>
                <w:highlight w:val="none"/>
                <w:lang w:val="zh-CN"/>
              </w:rPr>
              <w:t xml:space="preserve">其余不得分。</w:t>
            </w:r>
            <w:r>
              <w:rPr>
                <w:rFonts w:ascii="宋体" w:hAnsi="宋体" w:cs="宋体"/>
                <w:color w:val="000000"/>
                <w:highlight w:val="none"/>
              </w:rPr>
            </w:r>
            <w:r/>
          </w:p>
        </w:tc>
        <w:tc>
          <w:tcPr>
            <w:tcW w:w="1339" w:type="dxa"/>
            <w:vAlign w:val="center"/>
            <w:textDirection w:val="lrTb"/>
            <w:noWrap w:val="false"/>
          </w:tcPr>
          <w:p>
            <w:pPr>
              <w:pStyle w:val="1070"/>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676"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474"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42</w:t>
            </w:r>
            <w:r>
              <w:rPr>
                <w:rFonts w:ascii="宋体" w:hAnsi="宋体"/>
                <w:color w:val="000000"/>
                <w:sz w:val="24"/>
                <w:highlight w:val="none"/>
              </w:rPr>
            </w:r>
            <w:r/>
          </w:p>
        </w:tc>
        <w:tc>
          <w:tcPr>
            <w:tcW w:w="1992" w:type="dxa"/>
            <w:vAlign w:val="center"/>
            <w:textDirection w:val="lrTb"/>
            <w:noWrap w:val="false"/>
          </w:tcPr>
          <w:p>
            <w:pPr>
              <w:pStyle w:val="1070"/>
              <w:spacing w:line="360" w:lineRule="exact"/>
              <w:rPr>
                <w:rFonts w:ascii="宋体" w:hAnsi="宋体"/>
                <w:color w:val="000000"/>
                <w:sz w:val="24"/>
                <w:highlight w:val="none"/>
              </w:rPr>
            </w:pPr>
            <w:r>
              <w:rPr>
                <w:rFonts w:ascii="宋体" w:hAnsi="宋体"/>
                <w:color w:val="000000"/>
                <w:sz w:val="24"/>
                <w:highlight w:val="none"/>
              </w:rPr>
            </w:r>
            <w:r/>
          </w:p>
        </w:tc>
        <w:tc>
          <w:tcPr>
            <w:tcW w:w="1339" w:type="dxa"/>
            <w:vAlign w:val="center"/>
            <w:textDirection w:val="lrTb"/>
            <w:noWrap w:val="false"/>
          </w:tcPr>
          <w:p>
            <w:pPr>
              <w:pStyle w:val="1070"/>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676"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s="宋体"/>
                <w:color w:val="000000"/>
                <w:sz w:val="24"/>
                <w:highlight w:val="none"/>
              </w:rPr>
              <w:t xml:space="preserve">技术部分</w:t>
            </w:r>
            <w:r>
              <w:rPr>
                <w:rFonts w:ascii="宋体" w:hAnsi="宋体"/>
                <w:color w:val="000000"/>
                <w:sz w:val="24"/>
                <w:highlight w:val="none"/>
              </w:rPr>
            </w:r>
            <w:r/>
          </w:p>
        </w:tc>
        <w:tc>
          <w:tcPr>
            <w:tcW w:w="474"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9</w:t>
            </w:r>
            <w:r>
              <w:rPr>
                <w:rFonts w:ascii="宋体" w:hAnsi="宋体"/>
                <w:color w:val="000000"/>
                <w:sz w:val="24"/>
                <w:highlight w:val="none"/>
              </w:rPr>
            </w:r>
            <w:r/>
          </w:p>
        </w:tc>
        <w:tc>
          <w:tcPr>
            <w:tcW w:w="1992" w:type="dxa"/>
            <w:vAlign w:val="center"/>
            <w:textDirection w:val="lrTb"/>
            <w:noWrap w:val="false"/>
          </w:tcPr>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采购技术要求中带“</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”参数为实质性参数，若有负偏离作无效投标处理；</w:t>
            </w:r>
            <w:r>
              <w:rPr>
                <w:rFonts w:hint="eastAsia" w:ascii="宋体" w:hAnsi="宋体" w:cs="宋体"/>
                <w:color w:val="000000"/>
                <w:sz w:val="24"/>
                <w:highlight w:val="none"/>
                <w:lang w:bidi="ar"/>
              </w:rPr>
              <w:t xml:space="preserve">采购技术要求</w:t>
            </w:r>
            <w:r>
              <w:rPr>
                <w:rFonts w:hint="eastAsia" w:ascii="宋体" w:hAnsi="宋体" w:cs="宋体"/>
                <w:color w:val="000000"/>
                <w:sz w:val="24"/>
                <w:highlight w:val="none"/>
              </w:rPr>
              <w:t xml:space="preserve">中带“▲”参数为重要参数，每有一项负偏离的，</w:t>
            </w:r>
            <w:r>
              <w:rPr>
                <w:rFonts w:hint="eastAsia" w:ascii="宋体" w:hAnsi="宋体" w:cs="宋体"/>
                <w:color w:val="000000"/>
                <w:sz w:val="24"/>
                <w:highlight w:val="green"/>
              </w:rPr>
              <w:t xml:space="preserve">扣</w:t>
            </w:r>
            <w:r>
              <w:rPr>
                <w:rFonts w:hint="eastAsia" w:ascii="宋体" w:hAnsi="宋体" w:cs="宋体"/>
                <w:color w:val="000000"/>
                <w:sz w:val="24"/>
                <w:highlight w:val="green"/>
                <w:lang w:val="en-US" w:eastAsia="zh-CN"/>
              </w:rPr>
              <w:t xml:space="preserve">3</w:t>
            </w:r>
            <w:r>
              <w:rPr>
                <w:rFonts w:hint="eastAsia" w:ascii="宋体" w:hAnsi="宋体" w:cs="宋体"/>
                <w:color w:val="000000"/>
                <w:sz w:val="24"/>
                <w:highlight w:val="none"/>
              </w:rPr>
              <w:t xml:space="preserve">分；其他参数为一般参数，每有一项负偏离的，扣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tc>
        <w:tc>
          <w:tcPr>
            <w:tcW w:w="1339" w:type="dxa"/>
            <w:vAlign w:val="center"/>
            <w:textDirection w:val="lrTb"/>
            <w:noWrap w:val="false"/>
          </w:tcPr>
          <w:p>
            <w:pPr>
              <w:pStyle w:val="1070"/>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bCs/>
                <w:color w:val="000000"/>
                <w:sz w:val="24"/>
                <w:highlight w:val="none"/>
              </w:rPr>
            </w:r>
            <w:r/>
          </w:p>
          <w:p>
            <w:pPr>
              <w:pStyle w:val="1070"/>
              <w:spacing w:line="360" w:lineRule="auto"/>
              <w:widowControl/>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备注2：完全复制招标文件技术参数要求的，评标小组有权视为所有技术参数负偏离，文字描述、国标、定制尺寸的技术指标除外。</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3.2</w:t>
            </w:r>
            <w:r>
              <w:rPr>
                <w:rFonts w:ascii="宋体" w:hAnsi="宋体"/>
                <w:color w:val="000000"/>
                <w:sz w:val="24"/>
                <w:highlight w:val="none"/>
              </w:rPr>
            </w:r>
            <w:r/>
          </w:p>
        </w:tc>
        <w:tc>
          <w:tcPr>
            <w:tcW w:w="676"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c>
          <w:tcPr>
            <w:tcW w:w="474" w:type="dxa"/>
            <w:vAlign w:val="center"/>
            <w:textDirection w:val="lrTb"/>
            <w:noWrap w:val="false"/>
          </w:tcPr>
          <w:p>
            <w:pPr>
              <w:pStyle w:val="1070"/>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ascii="宋体" w:hAnsi="宋体" w:eastAsia="宋体"/>
                <w:color w:val="000000"/>
                <w:sz w:val="24"/>
                <w:highlight w:val="none"/>
                <w:lang w:val="en-US" w:eastAsia="zh-CN"/>
              </w:rPr>
            </w:r>
            <w:r/>
          </w:p>
        </w:tc>
        <w:tc>
          <w:tcPr>
            <w:tcW w:w="1992" w:type="dxa"/>
            <w:vAlign w:val="center"/>
            <w:textDirection w:val="lrTb"/>
            <w:noWrap w:val="false"/>
          </w:tcPr>
          <w:p>
            <w:pPr>
              <w:pStyle w:val="1250"/>
              <w:spacing w:line="360" w:lineRule="exact"/>
              <w:rPr>
                <w:rFonts w:ascii="宋体" w:hAnsi="宋体" w:cs="宋体"/>
                <w:b/>
                <w:color w:val="000000"/>
                <w:highlight w:val="none"/>
              </w:rPr>
            </w:pPr>
            <w:r>
              <w:rPr>
                <w:rFonts w:hint="eastAsia" w:ascii="宋体" w:hAnsi="宋体" w:cs="宋体"/>
                <w:bCs/>
                <w:color w:val="000000"/>
                <w:highlight w:val="none"/>
              </w:rPr>
              <w:t xml:space="preserve">提供投标人或者制造商(含制造商其他代理商)自2022年1月1日以来在国内的销售合同（</w:t>
            </w:r>
            <w:r>
              <w:rPr>
                <w:rFonts w:hint="eastAsia" w:ascii="宋体" w:hAnsi="宋体" w:cs="宋体"/>
                <w:b/>
                <w:color w:val="000000"/>
                <w:highlight w:val="none"/>
              </w:rPr>
              <w:t xml:space="preserve">合同内产品必须与所投产品为同品牌同型号</w:t>
            </w:r>
            <w:r>
              <w:rPr>
                <w:rFonts w:hint="eastAsia" w:ascii="宋体" w:hAnsi="宋体" w:cs="宋体"/>
                <w:bCs/>
                <w:color w:val="000000"/>
                <w:highlight w:val="none"/>
              </w:rPr>
              <w:t xml:space="preserve">），每提供一份有效合同得</w:t>
            </w:r>
            <w:r>
              <w:rPr>
                <w:rFonts w:hint="eastAsia" w:ascii="宋体" w:hAnsi="宋体" w:cs="宋体"/>
                <w:bCs/>
                <w:color w:val="000000"/>
                <w:highlight w:val="none"/>
                <w:lang w:val="en-US" w:eastAsia="zh-CN"/>
              </w:rPr>
              <w:t xml:space="preserve">1</w:t>
            </w:r>
            <w:r>
              <w:rPr>
                <w:rFonts w:hint="eastAsia" w:ascii="宋体" w:hAnsi="宋体" w:cs="宋体"/>
                <w:bCs/>
                <w:color w:val="000000"/>
                <w:highlight w:val="none"/>
              </w:rPr>
              <w:t xml:space="preserve">分，最多得</w:t>
            </w:r>
            <w:r>
              <w:rPr>
                <w:rFonts w:hint="eastAsia" w:ascii="宋体" w:hAnsi="宋体" w:cs="宋体"/>
                <w:bCs/>
                <w:color w:val="000000"/>
                <w:highlight w:val="none"/>
                <w:lang w:val="en-US" w:eastAsia="zh-CN"/>
              </w:rPr>
              <w:t xml:space="preserve">2</w:t>
            </w:r>
            <w:r>
              <w:rPr>
                <w:rFonts w:hint="eastAsia" w:ascii="宋体" w:hAnsi="宋体" w:cs="宋体"/>
                <w:bCs/>
                <w:color w:val="000000"/>
                <w:highlight w:val="none"/>
              </w:rPr>
              <w:t xml:space="preserve">分。</w:t>
            </w:r>
            <w:r>
              <w:rPr>
                <w:rFonts w:ascii="宋体" w:hAnsi="宋体" w:cs="宋体"/>
                <w:b/>
                <w:color w:val="000000"/>
                <w:highlight w:val="none"/>
              </w:rPr>
            </w:r>
            <w:r/>
          </w:p>
        </w:tc>
        <w:tc>
          <w:tcPr>
            <w:tcW w:w="133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1、提供合同复印件</w:t>
            </w:r>
            <w:r>
              <w:rPr>
                <w:rFonts w:hint="eastAsia" w:ascii="宋体" w:hAnsi="宋体" w:cs="宋体"/>
                <w:color w:val="000000"/>
                <w:sz w:val="24"/>
                <w:highlight w:val="none"/>
              </w:rPr>
            </w:r>
            <w:r/>
          </w:p>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2、时间以合同签订时间为准</w:t>
            </w:r>
            <w:r>
              <w:rPr>
                <w:rFonts w:hint="eastAsia" w:ascii="宋体" w:hAnsi="宋体" w:cs="宋体"/>
                <w:color w:val="000000"/>
                <w:sz w:val="24"/>
                <w:highlight w:val="none"/>
              </w:rPr>
            </w:r>
            <w:r/>
          </w:p>
          <w:p>
            <w:pPr>
              <w:pStyle w:val="107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3、合同甲方应为最终实际使用合同标的的一方。</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0"/>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eastAsia="zh-CN"/>
              </w:rPr>
            </w:r>
            <w:r/>
          </w:p>
        </w:tc>
        <w:tc>
          <w:tcPr>
            <w:tcW w:w="676"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政府采购政策功能性得分</w:t>
            </w:r>
            <w:r>
              <w:rPr>
                <w:rFonts w:ascii="宋体" w:hAnsi="宋体" w:cs="宋体"/>
                <w:color w:val="000000"/>
                <w:sz w:val="24"/>
                <w:highlight w:val="none"/>
              </w:rPr>
            </w:r>
            <w:r/>
          </w:p>
        </w:tc>
        <w:tc>
          <w:tcPr>
            <w:tcW w:w="474"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992" w:type="dxa"/>
            <w:vAlign w:val="center"/>
            <w:textDirection w:val="lrTb"/>
            <w:noWrap w:val="false"/>
          </w:tcPr>
          <w:p>
            <w:pPr>
              <w:pStyle w:val="1250"/>
              <w:spacing w:line="360" w:lineRule="exact"/>
              <w:rPr>
                <w:rFonts w:ascii="宋体" w:hAnsi="宋体" w:cs="宋体"/>
                <w:color w:val="000000"/>
                <w:highlight w:val="none"/>
              </w:rPr>
            </w:pPr>
            <w:r>
              <w:rPr>
                <w:rFonts w:hint="eastAsia" w:ascii="宋体" w:hAnsi="宋体" w:cs="宋体"/>
                <w:color w:val="000000"/>
                <w:highlight w:val="none"/>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s="宋体"/>
                <w:color w:val="000000"/>
                <w:highlight w:val="none"/>
              </w:rPr>
            </w:r>
            <w:r/>
          </w:p>
        </w:tc>
        <w:tc>
          <w:tcPr>
            <w:tcW w:w="1339" w:type="dxa"/>
            <w:vAlign w:val="center"/>
            <w:textDirection w:val="lrTb"/>
            <w:noWrap w:val="false"/>
          </w:tcPr>
          <w:p>
            <w:pPr>
              <w:pStyle w:val="1070"/>
              <w:spacing w:line="360" w:lineRule="auto"/>
              <w:widowControl/>
              <w:tabs>
                <w:tab w:val="left" w:pos="1200" w:leader="none"/>
              </w:tabs>
              <w:rPr>
                <w:rFonts w:ascii="宋体" w:hAnsi="宋体" w:cs="宋体"/>
                <w:color w:val="000000"/>
                <w:sz w:val="24"/>
                <w:highlight w:val="none"/>
              </w:rPr>
            </w:pPr>
            <w:r>
              <w:rPr>
                <w:rFonts w:ascii="宋体" w:hAnsi="宋体" w:cs="宋体"/>
                <w:color w:val="000000"/>
                <w:sz w:val="24"/>
                <w:highlight w:val="none"/>
              </w:rPr>
            </w:r>
            <w:r/>
          </w:p>
        </w:tc>
      </w:tr>
      <w:tr>
        <w:trPr>
          <w:trHeight w:val="170"/>
        </w:trPr>
        <w:tc>
          <w:tcPr>
            <w:gridSpan w:val="2"/>
            <w:tcW w:w="2215"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474"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192"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r>
            <w:r/>
          </w:p>
        </w:tc>
      </w:tr>
    </w:tbl>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0" w:name="_Toc99301424"/>
      <w:r>
        <w:rPr>
          <w:rFonts w:ascii="宋体" w:hAnsi="宋体"/>
          <w:b/>
          <w:color w:val="000000"/>
          <w:sz w:val="36"/>
          <w:szCs w:val="36"/>
          <w:highlight w:val="none"/>
        </w:rPr>
        <w:t xml:space="preserve">第五章   采购需求</w:t>
      </w:r>
      <w:bookmarkEnd w:id="810"/>
      <w:r>
        <w:rPr>
          <w:rFonts w:ascii="宋体" w:hAnsi="宋体"/>
          <w:b/>
          <w:color w:val="000000"/>
          <w:sz w:val="36"/>
          <w:szCs w:val="36"/>
          <w:highlight w:val="none"/>
        </w:rPr>
      </w:r>
      <w:r/>
    </w:p>
    <w:p>
      <w:pPr>
        <w:pStyle w:val="1070"/>
        <w:ind w:firstLine="482"/>
        <w:jc w:val="left"/>
        <w:spacing w:line="360" w:lineRule="auto"/>
        <w:rPr>
          <w:rFonts w:ascii="宋体" w:hAnsi="宋体"/>
          <w:b/>
          <w:bCs/>
          <w:i/>
          <w:iCs/>
          <w:color w:val="000000"/>
          <w:sz w:val="24"/>
          <w:highlight w:val="none"/>
        </w:rPr>
      </w:pPr>
      <w:r>
        <w:rPr>
          <w:rFonts w:hint="eastAsia" w:ascii="宋体" w:hAnsi="宋体"/>
          <w:b/>
          <w:bCs/>
          <w:i/>
          <w:iCs/>
          <w:color w:val="000000"/>
          <w:sz w:val="24"/>
          <w:highlight w:val="none"/>
        </w:rPr>
        <w:t xml:space="preserve">（采购需求中标注“★”项条款，均为实质性要求，必须满足并响应，按要求提供有关材料，未响应或未按要求提供有关材料的，其投标无效。）</w:t>
      </w:r>
      <w:r>
        <w:rPr>
          <w:rFonts w:ascii="宋体" w:hAnsi="宋体"/>
          <w:b/>
          <w:bCs/>
          <w:i/>
          <w:iCs/>
          <w:color w:val="000000"/>
          <w:sz w:val="24"/>
          <w:highlight w:val="none"/>
        </w:rPr>
      </w:r>
      <w:r/>
    </w:p>
    <w:p>
      <w:pPr>
        <w:pStyle w:val="1070"/>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一、项目概况</w:t>
      </w:r>
      <w:r>
        <w:rPr>
          <w:rFonts w:ascii="宋体" w:hAnsi="宋体"/>
          <w:b/>
          <w:color w:val="000000"/>
          <w:sz w:val="24"/>
          <w:highlight w:val="none"/>
        </w:rPr>
      </w:r>
      <w:r/>
    </w:p>
    <w:p>
      <w:pPr>
        <w:pStyle w:val="1070"/>
        <w:ind w:firstLine="480"/>
        <w:jc w:val="left"/>
        <w:spacing w:line="360" w:lineRule="auto"/>
        <w:rPr>
          <w:rFonts w:ascii="宋体" w:hAnsi="宋体"/>
          <w:color w:val="000000"/>
          <w:sz w:val="24"/>
          <w:highlight w:val="none"/>
        </w:rPr>
      </w:pPr>
      <w:r>
        <w:rPr>
          <w:rFonts w:hint="eastAsia" w:ascii="宋体" w:hAnsi="宋体" w:cs="宋体"/>
          <w:color w:val="000000"/>
          <w:sz w:val="24"/>
          <w:highlight w:val="none"/>
          <w:lang w:bidi="ar"/>
        </w:rPr>
        <w:t xml:space="preserve">本项目为常州市武进区疾病预防控制中心全自动微生物质谱监测系统采购项目，具体内容包括：设备的制造（采购）、运输、装卸、安装、调试、测试、售后服务、技术培训等，直至通过采购单位及其他相关部门的验收以及质量保修、免费维保等全部工作</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二、基本要求</w:t>
      </w:r>
      <w:r>
        <w:rPr>
          <w:rFonts w:ascii="宋体" w:hAnsi="宋体"/>
          <w:b/>
          <w:color w:val="000000"/>
          <w:sz w:val="24"/>
          <w:highlight w:val="none"/>
        </w:rPr>
      </w:r>
      <w:r/>
    </w:p>
    <w:p>
      <w:pPr>
        <w:pStyle w:val="107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olor w:val="000000"/>
          <w:sz w:val="24"/>
          <w:highlight w:val="none"/>
        </w:rPr>
      </w:r>
      <w:r/>
    </w:p>
    <w:p>
      <w:pPr>
        <w:pStyle w:val="1166"/>
        <w:contextualSpacing/>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2.投标人应保证采购人在使用其所供货物时不受第三方提出侵犯其专利权、著作权和工业产权等知识产权的起 诉。一旦出现侵权，一律由供应商承担全部责任。同时，供应商对采购人采购的货物所涉及的技术、产能等信息负有保密义务。</w:t>
      </w:r>
      <w:r>
        <w:rPr>
          <w:rFonts w:hint="eastAsia" w:ascii="宋体" w:hAnsi="宋体"/>
          <w:color w:val="000000"/>
          <w:sz w:val="24"/>
          <w:highlight w:val="none"/>
        </w:rPr>
      </w:r>
      <w:r/>
    </w:p>
    <w:p>
      <w:pPr>
        <w:pStyle w:val="1070"/>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三、采购清单</w:t>
      </w:r>
      <w:r>
        <w:rPr>
          <w:rFonts w:ascii="宋体" w:hAnsi="宋体"/>
          <w:b/>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569"/>
        <w:gridCol w:w="1376"/>
        <w:gridCol w:w="5434"/>
      </w:tblGrid>
      <w:tr>
        <w:trPr>
          <w:trHeight w:val="333"/>
        </w:trPr>
        <w:tc>
          <w:tcPr>
            <w:tcW w:w="486" w:type="dxa"/>
            <w:vAlign w:val="center"/>
            <w:textDirection w:val="lrTb"/>
            <w:noWrap w:val="false"/>
          </w:tcPr>
          <w:p>
            <w:pPr>
              <w:pStyle w:val="1070"/>
              <w:jc w:val="center"/>
              <w:spacing w:line="3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序号</w:t>
            </w:r>
            <w:r>
              <w:rPr>
                <w:rFonts w:hint="eastAsia" w:ascii="宋体" w:hAnsi="宋体"/>
                <w:color w:val="000000"/>
                <w:sz w:val="24"/>
                <w:szCs w:val="20"/>
                <w:highlight w:val="none"/>
              </w:rPr>
            </w:r>
            <w:r/>
          </w:p>
        </w:tc>
        <w:tc>
          <w:tcPr>
            <w:tcW w:w="845" w:type="dxa"/>
            <w:vAlign w:val="center"/>
            <w:textDirection w:val="lrTb"/>
            <w:noWrap w:val="false"/>
          </w:tcPr>
          <w:p>
            <w:pPr>
              <w:pStyle w:val="1070"/>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设备</w:t>
            </w:r>
            <w:r>
              <w:rPr>
                <w:rFonts w:ascii="宋体" w:hAnsi="宋体"/>
                <w:color w:val="000000"/>
                <w:sz w:val="24"/>
                <w:szCs w:val="20"/>
                <w:highlight w:val="none"/>
              </w:rPr>
              <w:t xml:space="preserve">名称</w:t>
            </w:r>
            <w:r>
              <w:rPr>
                <w:rFonts w:ascii="宋体" w:hAnsi="宋体"/>
                <w:color w:val="000000"/>
                <w:sz w:val="24"/>
                <w:szCs w:val="20"/>
                <w:highlight w:val="none"/>
              </w:rPr>
            </w:r>
            <w:r/>
          </w:p>
        </w:tc>
        <w:tc>
          <w:tcPr>
            <w:tcW w:w="741" w:type="dxa"/>
            <w:vAlign w:val="center"/>
            <w:textDirection w:val="lrTb"/>
            <w:noWrap w:val="false"/>
          </w:tcPr>
          <w:p>
            <w:pPr>
              <w:pStyle w:val="1070"/>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数量</w:t>
            </w:r>
            <w:r>
              <w:rPr>
                <w:rFonts w:ascii="宋体" w:hAnsi="宋体"/>
                <w:color w:val="000000"/>
                <w:sz w:val="24"/>
                <w:szCs w:val="20"/>
                <w:highlight w:val="none"/>
              </w:rPr>
            </w:r>
            <w:r/>
          </w:p>
        </w:tc>
        <w:tc>
          <w:tcPr>
            <w:tcW w:w="2927" w:type="dxa"/>
            <w:vAlign w:val="center"/>
            <w:textDirection w:val="lrTb"/>
            <w:noWrap w:val="false"/>
          </w:tcPr>
          <w:p>
            <w:pPr>
              <w:pStyle w:val="1070"/>
              <w:jc w:val="center"/>
              <w:spacing w:line="360" w:lineRule="exact"/>
              <w:rPr>
                <w:rFonts w:ascii="宋体" w:hAnsi="宋体" w:eastAsia="宋体"/>
                <w:b/>
                <w:bCs/>
                <w:i/>
                <w:iCs/>
                <w:color w:val="000000"/>
                <w:sz w:val="24"/>
                <w:szCs w:val="20"/>
                <w:highlight w:val="none"/>
                <w:lang w:val="en-US" w:eastAsia="zh-CN"/>
              </w:rPr>
            </w:pPr>
            <w:r>
              <w:rPr>
                <w:rFonts w:hint="eastAsia" w:ascii="宋体" w:hAnsi="宋体"/>
                <w:b/>
                <w:bCs/>
                <w:i/>
                <w:iCs/>
                <w:color w:val="000000"/>
                <w:sz w:val="24"/>
                <w:szCs w:val="20"/>
                <w:highlight w:val="none"/>
                <w:lang w:val="en-US" w:eastAsia="zh-CN"/>
              </w:rPr>
              <w:t xml:space="preserve">配置要求</w:t>
            </w:r>
            <w:r>
              <w:rPr>
                <w:rFonts w:ascii="宋体" w:hAnsi="宋体" w:eastAsia="宋体"/>
                <w:b/>
                <w:bCs/>
                <w:i/>
                <w:iCs/>
                <w:color w:val="000000"/>
                <w:sz w:val="24"/>
                <w:szCs w:val="20"/>
                <w:highlight w:val="none"/>
                <w:lang w:val="en-US" w:eastAsia="zh-CN"/>
              </w:rPr>
            </w:r>
            <w:r/>
          </w:p>
        </w:tc>
      </w:tr>
      <w:tr>
        <w:trPr/>
        <w:tc>
          <w:tcPr>
            <w:tcW w:w="486" w:type="dxa"/>
            <w:vAlign w:val="center"/>
            <w:textDirection w:val="lrTb"/>
            <w:noWrap w:val="false"/>
          </w:tcPr>
          <w:p>
            <w:pPr>
              <w:pStyle w:val="1070"/>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845" w:type="dxa"/>
            <w:vAlign w:val="center"/>
            <w:textDirection w:val="lrTb"/>
            <w:noWrap w:val="false"/>
          </w:tcPr>
          <w:p>
            <w:pPr>
              <w:pStyle w:val="1070"/>
              <w:jc w:val="center"/>
              <w:spacing w:line="360" w:lineRule="exact"/>
              <w:rPr>
                <w:rFonts w:hint="eastAsia" w:ascii="宋体" w:hAnsi="宋体"/>
                <w:color w:val="000000"/>
                <w:sz w:val="24"/>
                <w:szCs w:val="20"/>
                <w:highlight w:val="none"/>
              </w:rPr>
            </w:pPr>
            <w:r>
              <w:rPr>
                <w:rFonts w:hint="eastAsia" w:ascii="宋体" w:hAnsi="宋体"/>
                <w:color w:val="000000"/>
                <w:sz w:val="24"/>
                <w:highlight w:val="none"/>
              </w:rPr>
              <w:t xml:space="preserve">全自动微生物质谱监测系统</w:t>
            </w:r>
            <w:r>
              <w:rPr>
                <w:rFonts w:hint="eastAsia" w:ascii="宋体" w:hAnsi="宋体"/>
                <w:color w:val="000000"/>
                <w:sz w:val="24"/>
                <w:szCs w:val="20"/>
                <w:highlight w:val="none"/>
              </w:rPr>
            </w:r>
            <w:r/>
          </w:p>
        </w:tc>
        <w:tc>
          <w:tcPr>
            <w:tcW w:w="741" w:type="dxa"/>
            <w:vAlign w:val="center"/>
            <w:textDirection w:val="lrTb"/>
            <w:noWrap w:val="false"/>
          </w:tcPr>
          <w:p>
            <w:pPr>
              <w:pStyle w:val="1070"/>
              <w:jc w:val="center"/>
              <w:spacing w:line="3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1套</w:t>
            </w:r>
            <w:r>
              <w:rPr>
                <w:rFonts w:hint="eastAsia" w:ascii="宋体" w:hAnsi="宋体"/>
                <w:color w:val="000000"/>
                <w:sz w:val="24"/>
                <w:szCs w:val="20"/>
                <w:highlight w:val="none"/>
              </w:rPr>
            </w:r>
            <w:r/>
          </w:p>
        </w:tc>
        <w:tc>
          <w:tcPr>
            <w:tcW w:w="2927" w:type="dxa"/>
            <w:vAlign w:val="center"/>
            <w:textDirection w:val="lrTb"/>
            <w:noWrap w:val="false"/>
          </w:tcPr>
          <w:p>
            <w:pPr>
              <w:pStyle w:val="1070"/>
              <w:ind w:firstLine="0"/>
              <w:keepLines w:val="0"/>
              <w:keepNext w:val="0"/>
              <w:pageBreakBefore w:val="0"/>
              <w:spacing w:line="360" w:lineRule="atLeast"/>
              <w:widowControl w:val="off"/>
              <w:rPr>
                <w:rFonts w:ascii="宋体" w:hAnsi="宋体" w:cs="宋体"/>
                <w:b/>
                <w:bCs/>
                <w:i/>
                <w:iCs/>
                <w:color w:val="000000"/>
                <w:sz w:val="24"/>
                <w:highlight w:val="yellow"/>
              </w:rPr>
            </w:pPr>
            <w:r>
              <w:rPr>
                <w:rFonts w:hint="eastAsia" w:ascii="宋体" w:hAnsi="宋体" w:cs="宋体"/>
                <w:b/>
                <w:bCs/>
                <w:i/>
                <w:iCs/>
                <w:color w:val="000000"/>
                <w:sz w:val="24"/>
                <w:highlight w:val="yellow"/>
                <w:lang w:val="en-US" w:eastAsia="zh-CN"/>
              </w:rPr>
              <w:t xml:space="preserve">1.</w:t>
            </w:r>
            <w:r>
              <w:rPr>
                <w:rFonts w:hint="eastAsia" w:ascii="宋体" w:hAnsi="宋体" w:cs="宋体"/>
                <w:b/>
                <w:bCs/>
                <w:i/>
                <w:iCs/>
                <w:color w:val="000000"/>
                <w:sz w:val="24"/>
                <w:highlight w:val="yellow"/>
              </w:rPr>
              <w:t xml:space="preserve">主机：质辅助激光解吸电离飞行时间质谱仪，包括激光器、离子源、TOF质量分析器、检测器等，1台。</w:t>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highlight w:val="yellow"/>
              </w:rPr>
            </w:r>
            <w:r/>
          </w:p>
          <w:p>
            <w:pPr>
              <w:pStyle w:val="1070"/>
              <w:ind w:firstLine="0"/>
              <w:keepLines w:val="0"/>
              <w:keepNext w:val="0"/>
              <w:pageBreakBefore w:val="0"/>
              <w:spacing w:line="360" w:lineRule="atLeast"/>
              <w:widowControl w:val="off"/>
              <w:rPr>
                <w:rFonts w:ascii="宋体" w:hAnsi="宋体" w:cs="宋体"/>
                <w:b/>
                <w:bCs/>
                <w:i/>
                <w:iCs/>
                <w:color w:val="000000"/>
                <w:sz w:val="24"/>
                <w:highlight w:val="yellow"/>
              </w:rPr>
            </w:pPr>
            <w:r>
              <w:rPr>
                <w:rFonts w:hint="eastAsia" w:ascii="宋体" w:hAnsi="宋体" w:cs="宋体"/>
                <w:b/>
                <w:bCs/>
                <w:i/>
                <w:iCs/>
                <w:color w:val="000000"/>
                <w:sz w:val="24"/>
                <w:highlight w:val="yellow"/>
                <w:lang w:val="en-US" w:eastAsia="zh-CN"/>
              </w:rPr>
              <w:t xml:space="preserve">2.</w:t>
            </w:r>
            <w:r>
              <w:rPr>
                <w:rFonts w:hint="eastAsia" w:ascii="宋体" w:hAnsi="宋体" w:cs="宋体"/>
                <w:b/>
                <w:bCs/>
                <w:i/>
                <w:iCs/>
                <w:color w:val="000000"/>
                <w:sz w:val="24"/>
                <w:highlight w:val="yellow"/>
              </w:rPr>
              <w:t xml:space="preserve">软件包：包括仪器控制和数据采集站、数据处理和图谱分析软件，以及中央服务器平台管理软件，1套；</w:t>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highlight w:val="yellow"/>
              </w:rPr>
            </w:r>
            <w:r/>
          </w:p>
          <w:p>
            <w:pPr>
              <w:pStyle w:val="1070"/>
              <w:ind w:firstLine="0"/>
              <w:keepLines w:val="0"/>
              <w:keepNext w:val="0"/>
              <w:pageBreakBefore w:val="0"/>
              <w:spacing w:line="360" w:lineRule="atLeast"/>
              <w:widowControl w:val="off"/>
              <w:rPr>
                <w:rFonts w:ascii="宋体" w:hAnsi="宋体" w:cs="宋体"/>
                <w:b/>
                <w:bCs/>
                <w:i/>
                <w:iCs/>
                <w:color w:val="000000"/>
                <w:sz w:val="24"/>
                <w:highlight w:val="yellow"/>
              </w:rPr>
            </w:pPr>
            <w:r>
              <w:rPr>
                <w:rFonts w:hint="eastAsia" w:ascii="宋体" w:hAnsi="宋体" w:cs="宋体"/>
                <w:b/>
                <w:bCs/>
                <w:i/>
                <w:iCs/>
                <w:color w:val="000000"/>
                <w:sz w:val="24"/>
                <w:highlight w:val="yellow"/>
              </w:rPr>
              <w:t xml:space="preserve">3.数据库；微生物专用鉴定数据库，1套； 微生物科研数据库和分析软件，1套。</w:t>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rFonts w:hint="eastAsia" w:ascii="宋体" w:hAnsi="宋体" w:cs="宋体"/>
                <w:b/>
                <w:bCs/>
                <w:i/>
                <w:iCs/>
                <w:color w:val="000000"/>
                <w:sz w:val="24"/>
                <w:highlight w:val="yellow"/>
              </w:rPr>
              <w:tab/>
            </w:r>
            <w:r>
              <w:rPr>
                <w:highlight w:val="yellow"/>
              </w:rPr>
            </w:r>
            <w:r/>
          </w:p>
          <w:p>
            <w:pPr>
              <w:pStyle w:val="1070"/>
              <w:ind w:firstLine="0"/>
              <w:keepLines w:val="0"/>
              <w:keepNext w:val="0"/>
              <w:pageBreakBefore w:val="0"/>
              <w:spacing w:line="360" w:lineRule="atLeast"/>
              <w:widowControl w:val="off"/>
              <w:rPr>
                <w:rFonts w:hint="eastAsia" w:ascii="宋体" w:hAnsi="宋体" w:cs="宋体"/>
                <w:b/>
                <w:bCs/>
                <w:i/>
                <w:iCs/>
                <w:color w:val="000000"/>
                <w:sz w:val="24"/>
                <w:highlight w:val="yellow"/>
              </w:rPr>
            </w:pPr>
            <w:r>
              <w:rPr>
                <w:rFonts w:hint="eastAsia" w:ascii="宋体" w:hAnsi="宋体" w:cs="宋体"/>
                <w:b/>
                <w:bCs/>
                <w:i/>
                <w:iCs/>
                <w:color w:val="000000"/>
                <w:sz w:val="24"/>
                <w:highlight w:val="yellow"/>
              </w:rPr>
              <w:t xml:space="preserve">4</w:t>
            </w:r>
            <w:r>
              <w:rPr>
                <w:rFonts w:hint="eastAsia" w:ascii="宋体" w:hAnsi="宋体" w:cs="宋体"/>
                <w:b/>
                <w:bCs/>
                <w:i/>
                <w:iCs/>
                <w:color w:val="000000"/>
                <w:sz w:val="24"/>
                <w:highlight w:val="yellow"/>
                <w:lang w:val="en-US" w:eastAsia="zh-CN"/>
              </w:rPr>
              <w:t xml:space="preserve">.</w:t>
            </w:r>
            <w:r>
              <w:rPr>
                <w:rFonts w:hint="eastAsia" w:ascii="宋体" w:hAnsi="宋体" w:cs="宋体"/>
                <w:b/>
                <w:bCs/>
                <w:i/>
                <w:iCs/>
                <w:color w:val="000000"/>
                <w:sz w:val="24"/>
                <w:highlight w:val="yellow"/>
              </w:rPr>
              <w:t xml:space="preserve">配套处理工作站及打印设备。</w:t>
            </w:r>
            <w:r>
              <w:rPr>
                <w:highlight w:val="yellow"/>
              </w:rPr>
            </w:r>
            <w:r/>
          </w:p>
          <w:p>
            <w:pPr>
              <w:pStyle w:val="1070"/>
              <w:ind w:firstLine="0"/>
              <w:jc w:val="both"/>
              <w:keepLines w:val="0"/>
              <w:keepNext w:val="0"/>
              <w:pageBreakBefore w:val="0"/>
              <w:spacing w:line="360" w:lineRule="exact"/>
              <w:widowControl w:val="off"/>
              <w:rPr>
                <w:rFonts w:hint="eastAsia" w:ascii="宋体" w:hAnsi="宋体"/>
                <w:b/>
                <w:bCs/>
                <w:i/>
                <w:iCs/>
                <w:color w:val="000000"/>
                <w:sz w:val="24"/>
                <w:szCs w:val="20"/>
                <w:highlight w:val="yellow"/>
              </w:rPr>
            </w:pPr>
            <w:r>
              <w:rPr>
                <w:rFonts w:hint="eastAsia" w:ascii="宋体" w:hAnsi="宋体" w:cs="宋体"/>
                <w:b/>
                <w:bCs/>
                <w:i/>
                <w:iCs/>
                <w:color w:val="000000"/>
                <w:sz w:val="24"/>
                <w:highlight w:val="yellow"/>
              </w:rPr>
              <w:t xml:space="preserve">5</w:t>
            </w:r>
            <w:r>
              <w:rPr>
                <w:rFonts w:hint="eastAsia" w:ascii="宋体" w:hAnsi="宋体" w:cs="宋体"/>
                <w:b/>
                <w:bCs/>
                <w:i/>
                <w:iCs/>
                <w:color w:val="000000"/>
                <w:sz w:val="24"/>
                <w:highlight w:val="yellow"/>
                <w:lang w:val="en-US" w:eastAsia="zh-CN"/>
              </w:rPr>
              <w:t xml:space="preserve">.</w:t>
            </w:r>
            <w:r>
              <w:rPr>
                <w:rFonts w:hint="eastAsia" w:ascii="宋体" w:hAnsi="宋体" w:cs="宋体"/>
                <w:b/>
                <w:bCs/>
                <w:i/>
                <w:iCs/>
                <w:color w:val="000000"/>
                <w:sz w:val="24"/>
                <w:highlight w:val="yellow"/>
              </w:rPr>
              <w:t xml:space="preserve">一次性样品靶板  1盒</w:t>
            </w:r>
            <w:r>
              <w:rPr>
                <w:highlight w:val="yellow"/>
              </w:rPr>
            </w:r>
            <w:r/>
          </w:p>
        </w:tc>
      </w:tr>
    </w:tbl>
    <w:p>
      <w:pPr>
        <w:pStyle w:val="1070"/>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四、技术要求</w:t>
      </w:r>
      <w:r>
        <w:rPr>
          <w:rFonts w:ascii="宋体" w:hAnsi="宋体"/>
          <w:b/>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1.主要用途：设备系统用于微生物(细菌、霉菌、酵母、分枝杆菌、诺卡菌)样品的快速鉴定及分析。</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2.工作条件：电力要求：220-240V，单相；工作环境温度：18-28℃；相对湿度：20%-75%无冷凝。 </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 技术参数</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3.1 硬件：</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b w:val="0"/>
          <w:bCs/>
          <w:i/>
          <w:color w:val="000000"/>
          <w:sz w:val="24"/>
          <w:highlight w:val="yellow"/>
        </w:rPr>
      </w:pPr>
      <w:r>
        <w:rPr>
          <w:rFonts w:hint="eastAsia" w:ascii="宋体" w:hAnsi="宋体" w:cs="宋体"/>
          <w:b w:val="0"/>
          <w:bCs/>
          <w:i w:val="0"/>
          <w:iCs w:val="0"/>
          <w:color w:val="000000"/>
          <w:sz w:val="24"/>
          <w:highlight w:val="yellow"/>
        </w:rPr>
        <w:t xml:space="preserve">3.1.1台式系统全自动快速微生物质谱检测系统，飞行管长度≤1m</w:t>
      </w:r>
      <w:r>
        <w:rPr>
          <w:rFonts w:hint="eastAsia" w:ascii="宋体" w:hAnsi="宋体" w:cs="宋体"/>
          <w:b w:val="0"/>
          <w:bCs/>
          <w:i w:val="0"/>
          <w:iCs w:val="0"/>
          <w:color w:val="000000"/>
          <w:sz w:val="24"/>
          <w:highlight w:val="yellow"/>
          <w:lang w:eastAsia="zh-CN"/>
        </w:rPr>
        <w:t xml:space="preserve">。</w:t>
      </w:r>
      <w:r>
        <w:rPr>
          <w:rFonts w:hint="eastAsia" w:ascii="宋体" w:hAnsi="宋体" w:cs="宋体"/>
          <w:b w:val="0"/>
          <w:bCs/>
          <w:i w:val="0"/>
          <w:iCs w:val="0"/>
          <w:color w:val="000000"/>
          <w:sz w:val="24"/>
          <w:highlight w:val="yellow"/>
        </w:rPr>
        <w:t xml:space="preserve">（需提供器使用说明书、彩页或技术白皮书相关证明材料）。</w:t>
      </w:r>
      <w:r>
        <w:rPr>
          <w:rFonts w:ascii="宋体" w:hAnsi="宋体" w:cs="宋体"/>
          <w:b w:val="0"/>
          <w:bCs/>
          <w:i/>
          <w:color w:val="000000"/>
          <w:sz w:val="24"/>
          <w:highlight w:val="yellow"/>
        </w:rPr>
      </w:r>
      <w:r/>
    </w:p>
    <w:p>
      <w:pPr>
        <w:pStyle w:val="1070"/>
        <w:ind w:firstLine="480"/>
        <w:spacing w:line="360" w:lineRule="atLeast"/>
        <w:rPr>
          <w:rFonts w:hint="eastAsia" w:ascii="宋体" w:hAnsi="宋体" w:eastAsia="宋体" w:cs="宋体"/>
          <w:b w:val="0"/>
          <w:bCs/>
          <w:i w:val="0"/>
          <w:iCs w:val="0"/>
          <w:color w:val="000000"/>
          <w:sz w:val="24"/>
          <w:highlight w:val="yellow"/>
          <w:lang w:eastAsia="zh-CN"/>
        </w:rPr>
      </w:pPr>
      <w:r>
        <w:rPr>
          <w:rFonts w:hint="eastAsia" w:ascii="宋体" w:hAnsi="宋体" w:eastAsia="宋体" w:cs="宋体"/>
          <w:b w:val="0"/>
          <w:bCs/>
          <w:i w:val="0"/>
          <w:iCs w:val="0"/>
          <w:color w:val="000000"/>
          <w:sz w:val="24"/>
          <w:highlight w:val="yellow"/>
        </w:rPr>
        <w:t xml:space="preserve">3.1.2激光器：使用</w:t>
      </w:r>
      <w:r>
        <w:rPr>
          <w:rFonts w:hint="eastAsia" w:ascii="宋体" w:hAnsi="宋体" w:eastAsia="宋体" w:cs="宋体"/>
          <w:b w:val="0"/>
          <w:bCs/>
          <w:i w:val="0"/>
          <w:iCs w:val="0"/>
          <w:color w:val="000000"/>
          <w:sz w:val="24"/>
          <w:highlight w:val="green"/>
        </w:rPr>
        <w:t xml:space="preserve">349nm</w:t>
      </w:r>
      <w:r>
        <w:rPr>
          <w:rFonts w:hint="eastAsia" w:ascii="宋体" w:hAnsi="宋体" w:eastAsia="宋体" w:cs="宋体"/>
          <w:b w:val="0"/>
          <w:bCs/>
          <w:i w:val="0"/>
          <w:iCs w:val="0"/>
          <w:color w:val="000000"/>
          <w:sz w:val="24"/>
          <w:highlight w:val="yellow"/>
        </w:rPr>
        <w:t xml:space="preserve">固态激光器，脉冲频率＞1kHz</w:t>
      </w:r>
      <w:r>
        <w:rPr>
          <w:rFonts w:hint="eastAsia" w:ascii="宋体" w:hAnsi="宋体" w:eastAsia="宋体" w:cs="宋体"/>
          <w:b w:val="0"/>
          <w:bCs/>
          <w:i w:val="0"/>
          <w:iCs w:val="0"/>
          <w:color w:val="000000"/>
          <w:sz w:val="24"/>
          <w:highlight w:val="yellow"/>
          <w:lang w:eastAsia="zh-CN"/>
        </w:rPr>
        <w:t xml:space="preserve">。</w:t>
      </w:r>
      <w:r>
        <w:rPr>
          <w:rFonts w:hint="eastAsia" w:ascii="宋体" w:hAnsi="宋体" w:eastAsia="宋体" w:cs="宋体"/>
          <w:b w:val="0"/>
          <w:bCs/>
          <w:i w:val="0"/>
          <w:iCs w:val="0"/>
          <w:color w:val="000000"/>
          <w:sz w:val="24"/>
          <w:highlight w:val="yellow"/>
        </w:rPr>
        <w:t xml:space="preserve">（需提供器使用说明书、彩页或技术白皮书相关证明材料）</w:t>
      </w:r>
      <w:r>
        <w:rPr>
          <w:rFonts w:hint="eastAsia" w:ascii="宋体" w:hAnsi="宋体" w:eastAsia="宋体" w:cs="宋体"/>
          <w:b w:val="0"/>
          <w:bCs/>
          <w:i w:val="0"/>
          <w:iCs w:val="0"/>
          <w:color w:val="000000"/>
          <w:sz w:val="24"/>
          <w:highlight w:val="yellow"/>
          <w:lang w:eastAsia="zh-CN"/>
        </w:rPr>
        <w:t xml:space="preserve">。</w:t>
      </w:r>
      <w:r>
        <w:rPr>
          <w:rFonts w:hint="eastAsia" w:ascii="宋体" w:hAnsi="宋体" w:eastAsia="宋体" w:cs="宋体"/>
          <w:b w:val="0"/>
          <w:bCs/>
          <w:i w:val="0"/>
          <w:iCs w:val="0"/>
          <w:color w:val="000000"/>
          <w:sz w:val="24"/>
          <w:highlight w:val="yellow"/>
          <w:lang w:eastAsia="zh-CN"/>
        </w:rPr>
      </w:r>
      <w:r/>
    </w:p>
    <w:p>
      <w:pPr>
        <w:pStyle w:val="1070"/>
        <w:ind w:firstLine="480"/>
        <w:spacing w:line="360" w:lineRule="atLeast"/>
        <w:rPr>
          <w:rFonts w:ascii="宋体" w:hAnsi="宋体" w:cs="宋体"/>
          <w:color w:val="000000"/>
          <w:sz w:val="24"/>
          <w:highlight w:val="none"/>
        </w:rPr>
      </w:pPr>
      <w:r>
        <w:rPr>
          <w:rFonts w:hint="eastAsia" w:ascii="宋体" w:hAnsi="宋体" w:cs="宋体"/>
          <w:b w:val="0"/>
          <w:bCs/>
          <w:i w:val="0"/>
          <w:iCs/>
          <w:color w:val="000000"/>
          <w:sz w:val="24"/>
          <w:highlight w:val="none"/>
        </w:rPr>
        <w:t xml:space="preserve">3.1.3</w:t>
      </w:r>
      <w:r>
        <w:rPr>
          <w:rFonts w:hint="eastAsia" w:ascii="宋体" w:hAnsi="宋体" w:cs="宋体"/>
          <w:b w:val="0"/>
          <w:bCs/>
          <w:color w:val="000000"/>
          <w:sz w:val="24"/>
          <w:highlight w:val="none"/>
        </w:rPr>
        <w:t xml:space="preserve">真</w:t>
      </w:r>
      <w:r>
        <w:rPr>
          <w:rFonts w:hint="eastAsia" w:ascii="宋体" w:hAnsi="宋体" w:cs="宋体"/>
          <w:color w:val="000000"/>
          <w:sz w:val="24"/>
          <w:highlight w:val="none"/>
        </w:rPr>
        <w:t xml:space="preserve">空系统：独立的进靶板和检测模块，支持仪器鉴定运行同时进靶板；高效的抽真空系统，使用分子涡轮泵+无油机械泵,真空恢复时间≤3min</w:t>
      </w:r>
      <w:r>
        <w:rPr>
          <w:rFonts w:hint="eastAsia" w:ascii="宋体" w:hAnsi="宋体" w:cs="宋体"/>
          <w:b/>
          <w:i/>
          <w:color w:val="000000"/>
          <w:sz w:val="24"/>
          <w:highlight w:val="none"/>
        </w:rPr>
        <w:t xml:space="preserve">。</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i w:val="0"/>
          <w:iCs w:val="0"/>
          <w:color w:val="000000"/>
          <w:sz w:val="24"/>
          <w:highlight w:val="green"/>
        </w:rPr>
        <w:t xml:space="preserve">▲</w:t>
      </w:r>
      <w:r>
        <w:rPr>
          <w:rFonts w:hint="eastAsia" w:ascii="宋体" w:hAnsi="宋体" w:cs="宋体"/>
          <w:color w:val="000000"/>
          <w:sz w:val="24"/>
          <w:highlight w:val="none"/>
        </w:rPr>
        <w:t xml:space="preserve">3.1.4 MALDI 离子源：</w:t>
      </w:r>
      <w:r>
        <w:rPr>
          <w:rFonts w:hint="eastAsia" w:ascii="宋体" w:hAnsi="宋体" w:cs="宋体"/>
          <w:color w:val="000000"/>
          <w:sz w:val="24"/>
          <w:highlight w:val="green"/>
          <w:lang w:val="en-US" w:eastAsia="zh-CN"/>
        </w:rPr>
        <w:t xml:space="preserve">用户可自行拆卸离子源，支持使用者自行清洗。</w:t>
      </w:r>
      <w:r>
        <w:rPr>
          <w:rFonts w:hint="eastAsia" w:ascii="宋体" w:hAnsi="宋体" w:eastAsia="宋体" w:cs="宋体"/>
          <w:b w:val="0"/>
          <w:bCs/>
          <w:i w:val="0"/>
          <w:iCs w:val="0"/>
          <w:color w:val="000000"/>
          <w:sz w:val="24"/>
          <w:highlight w:val="green"/>
        </w:rPr>
        <w:t xml:space="preserve">（需提供器使用说明书、彩页或技术白皮书相关证明材料）</w:t>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2"/>
        <w:spacing w:line="360" w:lineRule="atLeast"/>
        <w:rPr>
          <w:rFonts w:ascii="宋体" w:hAnsi="宋体" w:eastAsia="宋体" w:cs="宋体"/>
          <w:color w:val="000000"/>
          <w:sz w:val="24"/>
          <w:highlight w:val="none"/>
          <w:lang w:val="en-US" w:eastAsia="zh-CN"/>
        </w:rPr>
      </w:pPr>
      <w:r>
        <w:rPr>
          <w:rFonts w:hint="eastAsia" w:ascii="宋体" w:hAnsi="宋体" w:cs="宋体"/>
          <w:b/>
          <w:bCs/>
          <w:i/>
          <w:iCs/>
          <w:color w:val="000000"/>
          <w:sz w:val="24"/>
          <w:highlight w:val="green"/>
        </w:rPr>
        <w:t xml:space="preserve">★</w:t>
      </w:r>
      <w:r>
        <w:rPr>
          <w:rFonts w:hint="eastAsia" w:ascii="宋体" w:hAnsi="宋体" w:cs="宋体"/>
          <w:b/>
          <w:bCs/>
          <w:i/>
          <w:iCs/>
          <w:color w:val="000000"/>
          <w:sz w:val="24"/>
          <w:highlight w:val="none"/>
        </w:rPr>
        <w:t xml:space="preserve">3.1.</w:t>
      </w:r>
      <w:r>
        <w:rPr>
          <w:rFonts w:hint="eastAsia" w:ascii="宋体" w:hAnsi="宋体" w:cs="宋体"/>
          <w:b/>
          <w:bCs/>
          <w:i/>
          <w:iCs/>
          <w:color w:val="000000"/>
          <w:sz w:val="24"/>
          <w:highlight w:val="none"/>
          <w:lang w:val="en-US" w:eastAsia="zh-CN"/>
        </w:rPr>
        <w:t xml:space="preserve">5</w:t>
      </w:r>
      <w:r>
        <w:rPr>
          <w:rFonts w:hint="eastAsia" w:ascii="宋体" w:hAnsi="宋体" w:cs="宋体"/>
          <w:b/>
          <w:bCs/>
          <w:i/>
          <w:iCs/>
          <w:color w:val="000000"/>
          <w:sz w:val="24"/>
          <w:highlight w:val="none"/>
        </w:rPr>
        <w:t xml:space="preserve"> 检测器: 高性能微通道</w:t>
      </w:r>
      <w:r>
        <w:rPr>
          <w:rFonts w:hint="eastAsia" w:ascii="宋体" w:hAnsi="宋体" w:cs="宋体"/>
          <w:b/>
          <w:bCs/>
          <w:i/>
          <w:iCs/>
          <w:color w:val="000000"/>
          <w:sz w:val="24"/>
          <w:highlight w:val="green"/>
          <w:lang w:eastAsia="zh-CN"/>
        </w:rPr>
        <w:t xml:space="preserve">（</w:t>
      </w:r>
      <w:r>
        <w:rPr>
          <w:rFonts w:hint="eastAsia" w:ascii="宋体" w:hAnsi="宋体" w:cs="宋体"/>
          <w:b/>
          <w:bCs/>
          <w:i/>
          <w:iCs/>
          <w:color w:val="000000"/>
          <w:sz w:val="24"/>
          <w:highlight w:val="green"/>
          <w:lang w:val="en-US" w:eastAsia="zh-CN"/>
        </w:rPr>
        <w:t xml:space="preserve">MCP）</w:t>
      </w:r>
      <w:r>
        <w:rPr>
          <w:rFonts w:hint="eastAsia" w:ascii="宋体" w:hAnsi="宋体" w:cs="宋体"/>
          <w:b/>
          <w:bCs/>
          <w:i/>
          <w:iCs/>
          <w:color w:val="000000"/>
          <w:sz w:val="24"/>
          <w:highlight w:val="none"/>
        </w:rPr>
        <w:t xml:space="preserve">和光电倍增管</w:t>
      </w:r>
      <w:r>
        <w:rPr>
          <w:rFonts w:hint="eastAsia" w:ascii="宋体" w:hAnsi="宋体" w:cs="宋体"/>
          <w:b/>
          <w:bCs/>
          <w:i/>
          <w:iCs/>
          <w:color w:val="000000"/>
          <w:sz w:val="24"/>
          <w:highlight w:val="green"/>
          <w:lang w:eastAsia="zh-CN"/>
        </w:rPr>
        <w:t xml:space="preserve">（</w:t>
      </w:r>
      <w:r>
        <w:rPr>
          <w:rFonts w:hint="eastAsia" w:ascii="宋体" w:hAnsi="宋体" w:cs="宋体"/>
          <w:b/>
          <w:bCs/>
          <w:i/>
          <w:iCs/>
          <w:color w:val="000000"/>
          <w:sz w:val="24"/>
          <w:highlight w:val="green"/>
          <w:lang w:val="en-US" w:eastAsia="zh-CN"/>
        </w:rPr>
        <w:t xml:space="preserve">PMT）</w:t>
      </w:r>
      <w:r>
        <w:rPr>
          <w:rFonts w:hint="eastAsia" w:ascii="宋体" w:hAnsi="宋体" w:cs="宋体"/>
          <w:b/>
          <w:bCs/>
          <w:i/>
          <w:iCs/>
          <w:color w:val="000000"/>
          <w:sz w:val="24"/>
          <w:highlight w:val="none"/>
        </w:rPr>
        <w:t xml:space="preserve">复合检测器。</w:t>
      </w:r>
      <w:r>
        <w:rPr>
          <w:rFonts w:hint="eastAsia" w:ascii="宋体" w:hAnsi="宋体" w:cs="宋体"/>
          <w:b/>
          <w:bCs/>
          <w:i/>
          <w:iCs/>
          <w:color w:val="000000"/>
          <w:sz w:val="24"/>
          <w:highlight w:val="green"/>
          <w:lang w:eastAsia="zh-CN"/>
        </w:rPr>
        <w:t xml:space="preserve">（</w:t>
      </w:r>
      <w:r>
        <w:rPr>
          <w:rFonts w:hint="eastAsia" w:ascii="宋体" w:hAnsi="宋体" w:cs="宋体"/>
          <w:b/>
          <w:bCs/>
          <w:i/>
          <w:iCs/>
          <w:color w:val="000000"/>
          <w:sz w:val="24"/>
          <w:highlight w:val="green"/>
          <w:lang w:val="en-US" w:eastAsia="zh-CN"/>
        </w:rPr>
        <w:t xml:space="preserve">提供厂家加盖公章的技术证明材料或厂家承诺函）</w:t>
      </w:r>
      <w:r>
        <w:rPr>
          <w:rFonts w:ascii="宋体" w:hAnsi="宋体" w:eastAsia="宋体" w:cs="宋体"/>
          <w:color w:val="000000"/>
          <w:sz w:val="24"/>
          <w:highlight w:val="none"/>
          <w:lang w:val="en-US" w:eastAsia="zh-CN"/>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3.2 性能：</w:t>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3.2.1 质量检测范围：仪器检测范围1～500kDa；微生物鉴定工作范围：2,000～20,000Da。</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b/>
          <w:bCs/>
          <w:i w:val="0"/>
          <w:iCs w:val="0"/>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3.2.2 分辨率：胰酶蛋白抑制剂分辨率≥680； 肌红蛋白分辨率≥940；细胞色素C分辨率≥730；大肠杆菌ATCC8739 m/z 4365分辨率≥630；m/z 6255分辨率≥840；m/z 9742分辨率≥720</w:t>
      </w:r>
      <w:r>
        <w:rPr>
          <w:rFonts w:hint="eastAsia" w:ascii="宋体" w:hAnsi="宋体" w:cs="宋体"/>
          <w:b/>
          <w:bCs/>
          <w:i w:val="0"/>
          <w:iCs w:val="0"/>
          <w:color w:val="000000"/>
          <w:sz w:val="24"/>
          <w:highlight w:val="green"/>
        </w:rPr>
        <w:t xml:space="preserve">（</w:t>
      </w:r>
      <w:r>
        <w:rPr>
          <w:rFonts w:hint="eastAsia" w:ascii="宋体" w:hAnsi="宋体" w:cs="宋体"/>
          <w:b w:val="0"/>
          <w:bCs w:val="0"/>
          <w:i w:val="0"/>
          <w:iCs w:val="0"/>
          <w:color w:val="000000"/>
          <w:sz w:val="24"/>
          <w:highlight w:val="green"/>
        </w:rPr>
        <w:t xml:space="preserve">具有相应资质的医疗器械检验研究院提供的检验报告</w:t>
      </w:r>
      <w:r>
        <w:rPr>
          <w:rFonts w:hint="eastAsia" w:ascii="宋体" w:hAnsi="宋体" w:cs="宋体"/>
          <w:b/>
          <w:bCs/>
          <w:i w:val="0"/>
          <w:iCs w:val="0"/>
          <w:color w:val="000000"/>
          <w:sz w:val="24"/>
          <w:highlight w:val="green"/>
        </w:rPr>
        <w:t xml:space="preserve">）</w:t>
      </w:r>
      <w:r>
        <w:rPr>
          <w:rFonts w:hint="eastAsia" w:ascii="宋体" w:hAnsi="宋体" w:cs="宋体"/>
          <w:b/>
          <w:bCs/>
          <w:i w:val="0"/>
          <w:iCs w:val="0"/>
          <w:color w:val="000000"/>
          <w:sz w:val="24"/>
          <w:highlight w:val="none"/>
        </w:rPr>
        <w:t xml:space="preserve">。</w:t>
      </w:r>
      <w:r>
        <w:rPr>
          <w:rFonts w:ascii="宋体" w:hAnsi="宋体" w:cs="宋体"/>
          <w:b/>
          <w:bCs/>
          <w:i w:val="0"/>
          <w:iCs w:val="0"/>
          <w:color w:val="000000"/>
          <w:sz w:val="24"/>
          <w:highlight w:val="none"/>
        </w:rPr>
      </w:r>
      <w:r/>
    </w:p>
    <w:p>
      <w:pPr>
        <w:pStyle w:val="1070"/>
        <w:ind w:firstLine="482"/>
        <w:spacing w:line="360" w:lineRule="atLeast"/>
        <w:rPr>
          <w:rFonts w:ascii="宋体" w:hAnsi="宋体" w:cs="宋体"/>
          <w:color w:val="000000"/>
          <w:sz w:val="24"/>
          <w:highlight w:val="none"/>
        </w:rPr>
      </w:pPr>
      <w:r>
        <w:rPr>
          <w:rFonts w:hint="eastAsia" w:ascii="宋体" w:hAnsi="宋体" w:cs="宋体"/>
          <w:b/>
          <w:bCs/>
          <w:i/>
          <w:iCs/>
          <w:color w:val="000000"/>
          <w:sz w:val="24"/>
          <w:highlight w:val="none"/>
        </w:rPr>
        <w:t xml:space="preserve">★3.2.3 单独设置的定标校准靶位，不占用检测用靶位（需提供器使用说明书、彩页或技术白皮书相关证明材料）。</w:t>
      </w:r>
      <w:r>
        <w:rPr>
          <w:rFonts w:hint="eastAsia" w:ascii="宋体" w:hAnsi="宋体" w:cs="宋体"/>
          <w:b/>
          <w:bCs/>
          <w:i/>
          <w:iCs/>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3.2.4 可以自动连续加载和运行靶板。</w:t>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3.2.5 质量重复性：混合蛋白测试变异系数小于0.01%。</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2"/>
        <w:spacing w:line="360" w:lineRule="atLeast"/>
        <w:rPr>
          <w:rFonts w:ascii="宋体" w:hAnsi="宋体" w:cs="宋体"/>
          <w:color w:val="000000"/>
          <w:sz w:val="24"/>
          <w:highlight w:val="none"/>
        </w:rPr>
      </w:pPr>
      <w:r>
        <w:rPr>
          <w:rFonts w:hint="eastAsia" w:ascii="宋体" w:hAnsi="宋体" w:eastAsia="宋体" w:cs="宋体"/>
          <w:b/>
          <w:bCs/>
          <w:color w:val="000000"/>
          <w:sz w:val="24"/>
          <w:highlight w:val="yellow"/>
        </w:rPr>
        <w:t xml:space="preserve">▲3.2.6 仪器检测通量：单次可完成≥384个样品上样检测，支持紧急样本优先鉴定</w:t>
      </w:r>
      <w:r>
        <w:rPr>
          <w:rFonts w:hint="eastAsia" w:ascii="宋体" w:hAnsi="宋体" w:eastAsia="宋体" w:cs="宋体"/>
          <w:b/>
          <w:bCs/>
          <w:color w:val="000000"/>
          <w:sz w:val="24"/>
          <w:highlight w:val="yellow"/>
          <w:lang w:eastAsia="zh-CN"/>
        </w:rPr>
        <w:t xml:space="preserve">，</w:t>
      </w:r>
      <w:r>
        <w:rPr>
          <w:rFonts w:hint="eastAsia" w:ascii="宋体" w:hAnsi="宋体" w:eastAsia="宋体" w:cs="宋体"/>
          <w:b/>
          <w:bCs/>
          <w:color w:val="000000"/>
          <w:sz w:val="24"/>
          <w:highlight w:val="green"/>
          <w:lang w:val="en-US" w:eastAsia="zh-CN"/>
        </w:rPr>
        <w:t xml:space="preserve">可以自动连续加载和运行靶板。</w:t>
      </w:r>
      <w:r>
        <w:rPr>
          <w:rFonts w:hint="eastAsia" w:ascii="宋体" w:hAnsi="宋体" w:eastAsia="宋体" w:cs="宋体"/>
          <w:b/>
          <w:bCs/>
          <w:color w:val="000000"/>
          <w:sz w:val="24"/>
          <w:highlight w:val="yellow"/>
        </w:rPr>
        <w:t xml:space="preserve">（需提供器使用说明书、彩页或技术白皮书相关证明材料）。</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3.3 软件：</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3.3.1 提供仪器控制、数据采集、数据处理及微生物鉴定分析的全套功能微生物鉴定专用软件，自动化快速地鉴定微生物。提供聚类分析统计功能，支持溯源分析。支持导出图谱文件进行离线分析和研究。</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i w:val="0"/>
          <w:iCs w:val="0"/>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3.3.2 智能化样品检测流程，仪器自动扫码识别进样，采集失败样品自动复测。（需提供器使用说明书、彩页或技术白皮书相关证明材料）。</w:t>
      </w:r>
      <w:r>
        <w:rPr>
          <w:rFonts w:hint="eastAsia" w:ascii="宋体" w:hAnsi="宋体" w:cs="宋体"/>
          <w:b/>
          <w:bCs/>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ascii="宋体" w:hAnsi="宋体" w:cs="宋体"/>
          <w:i w:val="0"/>
          <w:iCs w:val="0"/>
          <w:color w:val="000000"/>
          <w:sz w:val="24"/>
          <w:highlight w:val="none"/>
        </w:rPr>
      </w:r>
      <w:r/>
    </w:p>
    <w:p>
      <w:pPr>
        <w:pStyle w:val="1070"/>
        <w:ind w:firstLine="480"/>
        <w:spacing w:line="360" w:lineRule="atLeast"/>
        <w:rPr>
          <w:rFonts w:ascii="宋体" w:hAnsi="宋体" w:cs="宋体"/>
          <w:i w:val="0"/>
          <w:iCs w:val="0"/>
          <w:color w:val="000000"/>
          <w:sz w:val="24"/>
          <w:highlight w:val="none"/>
        </w:rPr>
      </w:pPr>
      <w:r>
        <w:rPr>
          <w:rFonts w:hint="eastAsia" w:ascii="宋体" w:hAnsi="宋体" w:cs="宋体"/>
          <w:i w:val="0"/>
          <w:iCs w:val="0"/>
          <w:color w:val="000000"/>
          <w:sz w:val="24"/>
          <w:highlight w:val="none"/>
        </w:rPr>
        <w:t xml:space="preserve">3.3.3 数据库都为本地数据库，数据库包含细菌、酵母菌、分枝杆菌、诺卡菌、霉菌等。</w:t>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ascii="宋体" w:hAnsi="宋体" w:cs="宋体"/>
          <w:i w:val="0"/>
          <w:iCs w:val="0"/>
          <w:color w:val="000000"/>
          <w:sz w:val="24"/>
          <w:highlight w:val="none"/>
        </w:rPr>
      </w:r>
      <w:r/>
    </w:p>
    <w:p>
      <w:pPr>
        <w:pStyle w:val="1070"/>
        <w:ind w:firstLine="480"/>
        <w:spacing w:line="360" w:lineRule="atLeast"/>
        <w:rPr>
          <w:rFonts w:ascii="宋体" w:hAnsi="宋体" w:cs="宋体"/>
          <w:i w:val="0"/>
          <w:iCs w:val="0"/>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3.3.4 软件配备自动化自检和维护功能，包含设备校准、激光调节、检测器自检、电压优化等关键性能参数调整和维护。（需提供器使用说明书、彩页或技术白皮书相关证明材料）。</w:t>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ascii="宋体" w:hAnsi="宋体" w:cs="宋体"/>
          <w:i w:val="0"/>
          <w:iCs w:val="0"/>
          <w:color w:val="000000"/>
          <w:sz w:val="24"/>
          <w:highlight w:val="none"/>
        </w:rPr>
      </w:r>
      <w:r/>
    </w:p>
    <w:p>
      <w:pPr>
        <w:pStyle w:val="1070"/>
        <w:ind w:firstLine="480"/>
        <w:spacing w:line="360" w:lineRule="atLeast"/>
        <w:rPr>
          <w:rFonts w:ascii="宋体" w:hAnsi="宋体" w:cs="宋体"/>
          <w:i w:val="0"/>
          <w:iCs w:val="0"/>
          <w:color w:val="000000"/>
          <w:sz w:val="24"/>
          <w:highlight w:val="none"/>
          <w:lang w:val="en-US" w:eastAsia="zh-CN"/>
        </w:rPr>
      </w:pPr>
      <w:r>
        <w:rPr>
          <w:rFonts w:hint="eastAsia" w:ascii="宋体" w:hAnsi="宋体" w:cs="宋体"/>
          <w:color w:val="000000"/>
          <w:sz w:val="24"/>
          <w:highlight w:val="none"/>
        </w:rPr>
        <w:t xml:space="preserve">3.3.5 结果显示：以百分比显示鉴定结果可信度，可提供高度置信度唯一鉴定结果。</w:t>
      </w:r>
      <w:r>
        <w:rPr>
          <w:rFonts w:hint="eastAsia" w:ascii="宋体" w:hAnsi="宋体" w:cs="宋体"/>
          <w:color w:val="000000"/>
          <w:sz w:val="24"/>
          <w:highlight w:val="none"/>
        </w:rPr>
        <w:tab/>
      </w:r>
      <w:r>
        <w:rPr>
          <w:rFonts w:hint="eastAsia" w:ascii="宋体" w:hAnsi="宋体" w:cs="宋体"/>
          <w:color w:val="000000"/>
          <w:sz w:val="24"/>
          <w:highlight w:val="none"/>
        </w:rPr>
        <w:t xml:space="preserve">3.3.6 符合21CFR Part 11要求，支持分级报告和审计追踪功能，确保数据完整性。</w:t>
      </w:r>
      <w:r>
        <w:rPr>
          <w:rFonts w:hint="eastAsia" w:ascii="宋体" w:hAnsi="宋体" w:cs="宋体"/>
          <w:color w:val="000000"/>
          <w:sz w:val="24"/>
          <w:highlight w:val="none"/>
        </w:rPr>
        <w:tab/>
      </w:r>
      <w:r>
        <w:rPr>
          <w:rFonts w:hint="eastAsia" w:ascii="宋体" w:hAnsi="宋体" w:cs="宋体"/>
          <w:i w:val="0"/>
          <w:iCs w:val="0"/>
          <w:color w:val="000000"/>
          <w:sz w:val="24"/>
          <w:highlight w:val="green"/>
        </w:rPr>
        <w:t xml:space="preserve">▲</w:t>
      </w:r>
      <w:r>
        <w:rPr>
          <w:rFonts w:hint="eastAsia" w:ascii="宋体" w:hAnsi="宋体" w:cs="宋体"/>
          <w:i w:val="0"/>
          <w:iCs w:val="0"/>
          <w:color w:val="000000"/>
          <w:sz w:val="24"/>
          <w:highlight w:val="green"/>
          <w:lang w:val="en-US" w:eastAsia="zh-CN"/>
        </w:rPr>
        <w:t xml:space="preserve">3.3.7仪器软件接口开放，后期配合接入实验室信息系统。软件可接入全国细菌耐药监测网，实现自动上报鉴定结果至全国细菌耐药监测网。（需提供连接全国细菌耐药监测网软件连接截图证明材料）</w:t>
      </w:r>
      <w:r>
        <w:rPr>
          <w:rFonts w:ascii="宋体" w:hAnsi="宋体" w:cs="宋体"/>
          <w:i w:val="0"/>
          <w:iCs w:val="0"/>
          <w:color w:val="000000"/>
          <w:sz w:val="24"/>
          <w:highlight w:val="none"/>
          <w:lang w:val="en-US" w:eastAsia="zh-CN"/>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数据库：</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3.4.1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本地化鉴定数据库，确保数据安全。涵盖菌种数＞2400种，覆盖不同来源的细菌、酵母、霉菌、分枝杆菌等。提供临床库和科研库两套数据库，独立且支持图谱互认。临床数据库采用菌种水平建库；科研库采用菌种/菌株二级建库，支持后续灵活扩展。</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3.4.2 数据库建库基于真实培养的菌株采集图谱,建库算法和流程应充分考虑菌株多样性和技术操作多样性，建库菌株与菌种数比超过10：1，（需提供器使用说明书、彩页或技术白皮书相关证明材料）。</w:t>
      </w:r>
      <w:r>
        <w:rPr>
          <w:rFonts w:hint="eastAsia" w:ascii="宋体" w:hAnsi="宋体" w:cs="宋体"/>
          <w:i w:val="0"/>
          <w:iCs w:val="0"/>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 经验证的官方数据库覆盖并区分以下高危害性微生物：布鲁氏菌、炭疽芽孢杆菌、鼻疽/类鼻疽伯克霍尔德菌、霍乱弧菌、鼠疫耶尔森、痢疾志贺菌、土拉弗朗西斯菌等。</w:t>
      </w:r>
      <w:r>
        <w:rPr>
          <w:rFonts w:hint="eastAsia" w:ascii="宋体" w:hAnsi="宋体" w:eastAsia="宋体" w:cs="宋体"/>
          <w:color w:val="000000"/>
          <w:sz w:val="24"/>
          <w:highlight w:val="none"/>
        </w:rPr>
      </w:r>
      <w:r/>
    </w:p>
    <w:p>
      <w:pPr>
        <w:pStyle w:val="1070"/>
        <w:ind w:firstLine="480"/>
        <w:spacing w:line="360" w:lineRule="atLeas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.4.4 数据库或算法支持单增李斯特菌、肺炎链球菌、鲍曼不动杆菌复合群、蜡样芽孢杆菌和苏云金芽孢杆菌等近缘菌种的精确区分，无需额外进行补充实验。</w:t>
      </w:r>
      <w:r>
        <w:rPr>
          <w:rFonts w:hint="eastAsia" w:ascii="宋体" w:hAnsi="宋体" w:cs="宋体"/>
          <w:color w:val="000000"/>
          <w:sz w:val="24"/>
          <w:highlight w:val="none"/>
        </w:rPr>
      </w:r>
      <w:r/>
    </w:p>
    <w:p>
      <w:pPr>
        <w:pStyle w:val="1070"/>
        <w:ind w:firstLine="480"/>
        <w:spacing w:line="360" w:lineRule="atLeas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.4.5 鉴定结果以百分比显示鉴定结果可信度，每个样本可提供唯一报告结果，无需人为选择判断。</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.4.6菌谱库不断添加更新，并可实现开放给用户自由增加菌种数目，建立未知微生物的标准蛋白质组指纹图谱参考数据库。</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3.5 试剂和耗材</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ascii="宋体" w:hAnsi="宋体" w:cs="宋体"/>
          <w:color w:val="000000"/>
          <w:sz w:val="24"/>
          <w:highlight w:val="none"/>
        </w:rPr>
      </w:pPr>
      <w:r>
        <w:rPr>
          <w:rFonts w:hint="eastAsia" w:ascii="宋体" w:hAnsi="宋体" w:cs="宋体"/>
          <w:i w:val="0"/>
          <w:iCs w:val="0"/>
          <w:color w:val="000000"/>
          <w:sz w:val="24"/>
          <w:highlight w:val="green"/>
        </w:rPr>
        <w:t xml:space="preserve">▲</w:t>
      </w:r>
      <w:r>
        <w:rPr>
          <w:rFonts w:hint="eastAsia" w:ascii="宋体" w:hAnsi="宋体" w:cs="宋体"/>
          <w:color w:val="000000"/>
          <w:sz w:val="24"/>
          <w:highlight w:val="none"/>
        </w:rPr>
        <w:t xml:space="preserve">3.5.1 样品板：提供带唯一识别条码一次性靶板，无需清洗，避免交叉污染，满足可追溯性；样品板上有独立的标准质控孔位，不占用样品位,确保流程合规性和结果可靠性。</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1070"/>
        <w:ind w:firstLine="480"/>
        <w:spacing w:line="360" w:lineRule="atLeast"/>
        <w:rPr>
          <w:rFonts w:hint="eastAsia" w:ascii="宋体" w:hAnsi="宋体" w:cs="宋体"/>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3.5.</w:t>
      </w:r>
      <w:r>
        <w:rPr>
          <w:rFonts w:hint="eastAsia" w:ascii="宋体" w:hAnsi="宋体" w:cs="宋体"/>
          <w:b/>
          <w:bCs/>
          <w:i w:val="0"/>
          <w:iCs w:val="0"/>
          <w:color w:val="000000"/>
          <w:sz w:val="24"/>
          <w:highlight w:val="none"/>
          <w:lang w:val="en-US" w:eastAsia="zh-CN"/>
        </w:rPr>
        <w:t xml:space="preserve">2</w:t>
      </w:r>
      <w:r>
        <w:rPr>
          <w:rFonts w:hint="eastAsia" w:ascii="宋体" w:hAnsi="宋体" w:cs="宋体"/>
          <w:b/>
          <w:bCs/>
          <w:i w:val="0"/>
          <w:iCs w:val="0"/>
          <w:color w:val="000000"/>
          <w:sz w:val="24"/>
          <w:highlight w:val="none"/>
        </w:rPr>
        <w:t xml:space="preserve"> 为确保样品前处理效率和生物安全，需提供经验证的特殊样品前处理试剂盒，包括丝状真菌、分枝杆菌、诺卡菌等</w:t>
      </w:r>
      <w:r>
        <w:rPr>
          <w:rFonts w:hint="eastAsia" w:ascii="宋体" w:hAnsi="宋体" w:cs="宋体"/>
          <w:b/>
          <w:bCs/>
          <w:i w:val="0"/>
          <w:iCs w:val="0"/>
          <w:color w:val="000000"/>
          <w:sz w:val="24"/>
          <w:highlight w:val="green"/>
          <w:lang w:eastAsia="zh-CN"/>
        </w:rPr>
        <w:t xml:space="preserve">。</w:t>
      </w:r>
      <w:r>
        <w:rPr>
          <w:rFonts w:hint="eastAsia" w:ascii="宋体" w:hAnsi="宋体" w:cs="宋体"/>
          <w:b/>
          <w:bCs/>
          <w:i w:val="0"/>
          <w:iCs w:val="0"/>
          <w:color w:val="000000"/>
          <w:sz w:val="24"/>
          <w:highlight w:val="green"/>
        </w:rPr>
        <w:t xml:space="preserve">（提供</w:t>
      </w:r>
      <w:r>
        <w:rPr>
          <w:rFonts w:hint="eastAsia" w:ascii="宋体" w:hAnsi="宋体" w:cs="宋体"/>
          <w:b/>
          <w:bCs/>
          <w:i w:val="0"/>
          <w:iCs w:val="0"/>
          <w:color w:val="000000"/>
          <w:sz w:val="24"/>
          <w:highlight w:val="green"/>
          <w:lang w:val="en-US" w:eastAsia="zh-CN"/>
        </w:rPr>
        <w:t xml:space="preserve">第三方检测机构出具的检验报告）</w:t>
      </w:r>
      <w:r>
        <w:rPr>
          <w:rFonts w:hint="eastAsia" w:ascii="宋体" w:hAnsi="宋体" w:cs="宋体"/>
          <w:b/>
          <w:bCs/>
          <w:i/>
          <w:iCs/>
          <w:color w:val="000000"/>
          <w:sz w:val="24"/>
          <w:highlight w:val="none"/>
        </w:rPr>
        <w:tab/>
      </w:r>
      <w:r>
        <w:rPr>
          <w:rFonts w:hint="eastAsia" w:ascii="宋体" w:hAnsi="宋体" w:cs="宋体"/>
          <w:b/>
          <w:bCs/>
          <w:i/>
          <w:iCs/>
          <w:color w:val="000000"/>
          <w:sz w:val="24"/>
          <w:highlight w:val="none"/>
        </w:rPr>
        <w:tab/>
      </w:r>
      <w:r>
        <w:rPr>
          <w:rFonts w:hint="eastAsia" w:ascii="宋体" w:hAnsi="宋体" w:cs="宋体"/>
          <w:b/>
          <w:bCs/>
          <w:i/>
          <w:iCs/>
          <w:color w:val="000000"/>
          <w:sz w:val="24"/>
          <w:highlight w:val="none"/>
        </w:rPr>
        <w:tab/>
      </w:r>
      <w:r>
        <w:rPr>
          <w:rFonts w:hint="eastAsia" w:ascii="宋体" w:hAnsi="宋体" w:eastAsia="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70"/>
        <w:ind w:firstLine="482"/>
        <w:jc w:val="left"/>
        <w:spacing w:line="360" w:lineRule="auto"/>
        <w:rPr>
          <w:rFonts w:ascii="宋体" w:hAnsi="宋体"/>
          <w:bCs/>
          <w:i/>
          <w:iCs/>
          <w:color w:val="000000"/>
          <w:sz w:val="24"/>
          <w:highlight w:val="none"/>
        </w:rPr>
      </w:pPr>
      <w:r>
        <w:rPr>
          <w:rFonts w:hint="eastAsia" w:ascii="宋体" w:hAnsi="宋体"/>
          <w:b/>
          <w:bCs/>
          <w:i/>
          <w:iCs/>
          <w:color w:val="000000"/>
          <w:sz w:val="24"/>
          <w:highlight w:val="none"/>
        </w:rPr>
        <w:t xml:space="preserve">★</w:t>
      </w:r>
      <w:r>
        <w:rPr>
          <w:rFonts w:hint="eastAsia" w:ascii="宋体" w:hAnsi="宋体"/>
          <w:b/>
          <w:bCs/>
          <w:i/>
          <w:iCs/>
          <w:color w:val="000000"/>
          <w:sz w:val="24"/>
          <w:highlight w:val="none"/>
          <w:lang w:val="en-US" w:eastAsia="zh-CN"/>
        </w:rPr>
        <w:t xml:space="preserve">4</w:t>
      </w:r>
      <w:r>
        <w:rPr>
          <w:rFonts w:hint="eastAsia" w:ascii="宋体" w:hAnsi="宋体"/>
          <w:b/>
          <w:i/>
          <w:iCs/>
          <w:color w:val="000000"/>
          <w:sz w:val="24"/>
          <w:highlight w:val="none"/>
        </w:rPr>
        <w:t xml:space="preserve">.中标后，采购人有权要求成交供应商进行产品功能演示或招标参数性能测试，若产品功能演示或招标参数性能测试达不到采购文件和成交供应商响应文件要求的，存在提供虚假材料情形的，采购人有权取消其成交资格。若剩余合格供应商符合法定数量时，可以从合格的成交候选人中另行确认成交供应商的，应当依法另行确定成交供应商；否则当重新开展采购活动。（提供承诺函，不满足作无效投标处理）</w:t>
      </w:r>
      <w:r>
        <w:rPr>
          <w:rFonts w:ascii="宋体" w:hAnsi="宋体"/>
          <w:bCs/>
          <w:i/>
          <w:iCs/>
          <w:color w:val="000000"/>
          <w:sz w:val="24"/>
          <w:highlight w:val="none"/>
        </w:rPr>
      </w:r>
      <w:r/>
    </w:p>
    <w:p>
      <w:pPr>
        <w:pStyle w:val="1070"/>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五、报价方式</w:t>
      </w:r>
      <w:r>
        <w:rPr>
          <w:rFonts w:ascii="宋体" w:hAnsi="宋体"/>
          <w:b/>
          <w:color w:val="000000"/>
          <w:sz w:val="24"/>
          <w:highlight w:val="none"/>
        </w:rPr>
      </w:r>
      <w:r/>
    </w:p>
    <w:p>
      <w:pPr>
        <w:pStyle w:val="1070"/>
        <w:ind w:right="210"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color w:val="000000"/>
          <w:sz w:val="24"/>
          <w:highlight w:val="none"/>
          <w:lang w:bidi="ar"/>
        </w:rPr>
      </w:r>
      <w:r/>
    </w:p>
    <w:p>
      <w:pPr>
        <w:pStyle w:val="1070"/>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六、交货期及交货地点</w:t>
      </w:r>
      <w:r>
        <w:rPr>
          <w:rFonts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w:t>
      </w:r>
      <w:r>
        <w:rPr>
          <w:rFonts w:hint="eastAsia" w:ascii="宋体" w:hAnsi="宋体"/>
          <w:color w:val="000000"/>
          <w:sz w:val="24"/>
          <w:highlight w:val="none"/>
        </w:rPr>
        <w:t xml:space="preserve">合同签订后60天内完成合同范围内所有设备的供货、安装调试。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w:t>
      </w:r>
      <w:r>
        <w:rPr>
          <w:rFonts w:hint="eastAsia" w:ascii="宋体" w:hAnsi="宋体" w:cs="宋体"/>
          <w:color w:val="000000"/>
          <w:sz w:val="24"/>
          <w:highlight w:val="none"/>
          <w:lang w:bidi="ar"/>
        </w:rPr>
        <w:t xml:space="preserve">安排专业工程师到用户现场进行免费仪器安装、调试，产生的费用由投标人承担</w:t>
      </w:r>
      <w:r>
        <w:rPr>
          <w:rFonts w:hint="eastAsia" w:ascii="宋体" w:hAnsi="宋体" w:cs="宋体"/>
          <w:color w:val="000000"/>
          <w:sz w:val="24"/>
          <w:highlight w:val="none"/>
          <w:lang w:bidi="ar"/>
        </w:rPr>
        <w:t xml:space="preserve">。采购人组织验收，检验不合格或不符合质量要求，投标人除无条件退货、返工外，还应承担采购人的一切损失。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0"/>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七、验收标准</w:t>
      </w:r>
      <w:r>
        <w:rPr>
          <w:rFonts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ascii="宋体" w:hAnsi="宋体" w:cs="宋体"/>
          <w:color w:val="000000"/>
          <w:sz w:val="24"/>
          <w:highlight w:val="none"/>
        </w:rPr>
      </w:r>
      <w:r/>
    </w:p>
    <w:p>
      <w:pPr>
        <w:pStyle w:val="1070"/>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八、质保期及售后服务</w:t>
      </w:r>
      <w:r>
        <w:rPr>
          <w:rFonts w:ascii="宋体" w:hAnsi="宋体" w:cs="宋体"/>
          <w:b/>
          <w:color w:val="000000"/>
          <w:sz w:val="24"/>
          <w:highlight w:val="none"/>
        </w:rPr>
      </w:r>
      <w:r/>
    </w:p>
    <w:p>
      <w:pPr>
        <w:pStyle w:val="1070"/>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（一）质保期：</w:t>
      </w:r>
      <w:r>
        <w:rPr>
          <w:rFonts w:hint="eastAsia" w:ascii="宋体" w:hAnsi="宋体" w:cs="宋体"/>
          <w:color w:val="000000"/>
          <w:sz w:val="24"/>
          <w:highlight w:val="none"/>
          <w:lang w:bidi="ar"/>
        </w:rPr>
        <w:t xml:space="preserve">投标人报价时须承诺所供货物免费质保期不少于</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年（自验收报告签字确认日起，开始进入质保期）。中标人对质保期内所发生的设备维护、维修、更换等一切费用负责。质保期内软件免费升级，且不收取软件使用费。</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right="210" w:firstLine="482"/>
        <w:jc w:val="left"/>
        <w:spacing w:line="360" w:lineRule="auto"/>
        <w:rPr>
          <w:rFonts w:hint="eastAsia" w:ascii="宋体" w:hAnsi="宋体"/>
          <w:b/>
          <w:color w:val="000000"/>
          <w:sz w:val="24"/>
          <w:highlight w:val="none"/>
        </w:rPr>
      </w:pPr>
      <w:r>
        <w:rPr>
          <w:rFonts w:hint="eastAsia" w:ascii="宋体" w:hAnsi="宋体" w:cs="宋体"/>
          <w:b/>
          <w:color w:val="000000"/>
          <w:sz w:val="24"/>
          <w:highlight w:val="none"/>
        </w:rPr>
        <w:t xml:space="preserve">九、</w:t>
      </w:r>
      <w:r>
        <w:rPr>
          <w:rFonts w:hint="eastAsia" w:ascii="宋体" w:hAnsi="宋体"/>
          <w:b/>
          <w:color w:val="000000"/>
          <w:sz w:val="24"/>
          <w:highlight w:val="none"/>
        </w:rPr>
        <w:t xml:space="preserve">付款方式</w:t>
      </w:r>
      <w:r>
        <w:rPr>
          <w:rFonts w:hint="eastAsia" w:ascii="宋体" w:hAnsi="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bookmarkStart w:id="811" w:name="_Toc99301426"/>
      <w:r/>
      <w:bookmarkStart w:id="812" w:name="_Toc99301425"/>
      <w:r>
        <w:rPr>
          <w:rFonts w:hint="eastAsia" w:ascii="宋体" w:hAnsi="宋体" w:cs="宋体"/>
          <w:color w:val="000000"/>
          <w:sz w:val="24"/>
          <w:highlight w:val="none"/>
        </w:rPr>
        <w:t xml:space="preserve">安装调试验收合格，临床科室开具领用单，开具发票入库后壹个月内付，采购人支付成交供应商至合同款项的100%。</w:t>
      </w:r>
      <w:r>
        <w:rPr>
          <w:rFonts w:hint="eastAsia" w:ascii="宋体" w:hAnsi="宋体" w:cs="宋体"/>
          <w:color w:val="000000"/>
          <w:sz w:val="24"/>
          <w:highlight w:val="none"/>
        </w:rPr>
      </w:r>
      <w:r/>
    </w:p>
    <w:p>
      <w:pPr>
        <w:pStyle w:val="1070"/>
        <w:ind w:firstLine="480"/>
        <w:jc w:val="center"/>
        <w:spacing w:line="360" w:lineRule="auto"/>
        <w:rPr>
          <w:rFonts w:ascii="宋体" w:hAnsi="宋体"/>
          <w:b/>
          <w:color w:val="000000"/>
          <w:sz w:val="36"/>
          <w:szCs w:val="36"/>
          <w:highlight w:val="none"/>
        </w:rPr>
      </w:pPr>
      <w:r>
        <w:rPr>
          <w:rFonts w:hint="eastAsia" w:ascii="宋体" w:hAnsi="宋体" w:cs="宋体"/>
          <w:color w:val="000000"/>
          <w:sz w:val="24"/>
          <w:highlight w:val="none"/>
        </w:rPr>
        <w:br w:type="page" w:clear="all"/>
      </w:r>
      <w:r>
        <w:rPr>
          <w:rFonts w:ascii="宋体" w:hAnsi="宋体"/>
          <w:b/>
          <w:color w:val="000000"/>
          <w:sz w:val="36"/>
          <w:szCs w:val="36"/>
          <w:highlight w:val="none"/>
        </w:rPr>
        <w:t xml:space="preserve">第六章   拟签订的合同文本</w:t>
      </w:r>
      <w:bookmarkEnd w:id="812"/>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4"/>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dxa"/>
            <w:vAlign w:val="center"/>
            <w:textDirection w:val="lrTb"/>
            <w:noWrap w:val="false"/>
          </w:tcPr>
          <w:p>
            <w:pPr>
              <w:pStyle w:val="1070"/>
              <w:jc w:val="center"/>
              <w:spacing w:line="360" w:lineRule="exact"/>
              <w:rPr>
                <w:rFonts w:hint="eastAsia" w:ascii="宋体" w:hAnsi="宋体" w:cs="宋体"/>
                <w:b/>
                <w:bCs/>
                <w:color w:val="000000"/>
                <w:sz w:val="24"/>
                <w:highlight w:val="none"/>
              </w:rPr>
            </w:pPr>
            <w:r>
              <w:rPr>
                <w:rFonts w:hint="eastAsia" w:ascii="宋体" w:hAnsi="宋体" w:cs="宋体"/>
                <w:b/>
                <w:bCs/>
                <w:color w:val="000000"/>
                <w:szCs w:val="21"/>
                <w:highlight w:val="none"/>
                <w:lang w:bidi="ar"/>
              </w:rPr>
              <w:t xml:space="preserve">  </w:t>
            </w:r>
            <w:r>
              <w:rPr>
                <w:rFonts w:hint="eastAsia" w:ascii="宋体" w:hAnsi="宋体" w:cs="宋体"/>
                <w:b/>
                <w:bCs/>
                <w:color w:val="000000"/>
                <w:sz w:val="24"/>
                <w:highlight w:val="none"/>
                <w:lang w:bidi="ar"/>
              </w:rPr>
              <w:t xml:space="preserve">设备名称</w:t>
            </w:r>
            <w:r>
              <w:rPr>
                <w:rFonts w:hint="eastAsia" w:ascii="宋体" w:hAnsi="宋体" w:cs="宋体"/>
                <w:b/>
                <w:bCs/>
                <w:color w:val="000000"/>
                <w:sz w:val="24"/>
                <w:highlight w:val="none"/>
              </w:rPr>
            </w:r>
            <w:r/>
          </w:p>
        </w:tc>
        <w:tc>
          <w:tcPr>
            <w:tcW w:w="596" w:type="dxa"/>
            <w:vAlign w:val="center"/>
            <w:textDirection w:val="lrTb"/>
            <w:noWrap w:val="false"/>
          </w:tcPr>
          <w:p>
            <w:pPr>
              <w:pStyle w:val="1070"/>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品牌</w:t>
            </w:r>
            <w:r>
              <w:rPr>
                <w:rFonts w:hint="eastAsia" w:ascii="宋体" w:hAnsi="宋体" w:cs="宋体"/>
                <w:b/>
                <w:bCs/>
                <w:color w:val="000000"/>
                <w:sz w:val="24"/>
                <w:highlight w:val="none"/>
              </w:rPr>
            </w:r>
            <w:r/>
          </w:p>
        </w:tc>
        <w:tc>
          <w:tcPr>
            <w:tcW w:w="874" w:type="dxa"/>
            <w:vAlign w:val="center"/>
            <w:textDirection w:val="lrTb"/>
            <w:noWrap w:val="false"/>
          </w:tcPr>
          <w:p>
            <w:pPr>
              <w:pStyle w:val="1070"/>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规格型号</w:t>
            </w:r>
            <w:r>
              <w:rPr>
                <w:rFonts w:hint="eastAsia" w:ascii="宋体" w:hAnsi="宋体" w:cs="宋体"/>
                <w:b/>
                <w:bCs/>
                <w:color w:val="000000"/>
                <w:sz w:val="24"/>
                <w:highlight w:val="none"/>
              </w:rPr>
            </w:r>
            <w:r/>
          </w:p>
        </w:tc>
        <w:tc>
          <w:tcPr>
            <w:tcW w:w="644" w:type="dxa"/>
            <w:vAlign w:val="center"/>
            <w:textDirection w:val="lrTb"/>
            <w:noWrap w:val="false"/>
          </w:tcPr>
          <w:p>
            <w:pPr>
              <w:pStyle w:val="1070"/>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  量</w:t>
            </w:r>
            <w:r>
              <w:rPr>
                <w:rFonts w:hint="eastAsia" w:ascii="宋体" w:hAnsi="宋体" w:cs="宋体"/>
                <w:b/>
                <w:bCs/>
                <w:color w:val="000000"/>
                <w:sz w:val="24"/>
                <w:highlight w:val="none"/>
              </w:rPr>
            </w:r>
            <w:r/>
          </w:p>
        </w:tc>
        <w:tc>
          <w:tcPr>
            <w:tcW w:w="767" w:type="dxa"/>
            <w:vAlign w:val="center"/>
            <w:textDirection w:val="lrTb"/>
            <w:noWrap w:val="false"/>
          </w:tcPr>
          <w:p>
            <w:pPr>
              <w:pStyle w:val="1070"/>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rPr>
            </w:r>
            <w:r/>
          </w:p>
        </w:tc>
        <w:tc>
          <w:tcPr>
            <w:tcW w:w="1006" w:type="dxa"/>
            <w:vAlign w:val="center"/>
            <w:textDirection w:val="lrTb"/>
            <w:noWrap w:val="false"/>
          </w:tcPr>
          <w:p>
            <w:pPr>
              <w:pStyle w:val="1070"/>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中标总价（元）</w:t>
            </w:r>
            <w:r>
              <w:rPr>
                <w:rFonts w:hint="eastAsia" w:ascii="宋体" w:hAnsi="宋体" w:cs="宋体"/>
                <w:b/>
                <w:bCs/>
                <w:color w:val="000000"/>
                <w:sz w:val="24"/>
                <w:highlight w:val="none"/>
              </w:rPr>
            </w:r>
            <w:r/>
          </w:p>
        </w:tc>
      </w:tr>
      <w:tr>
        <w:trPr>
          <w:trHeight w:val="600"/>
        </w:trPr>
        <w:tc>
          <w:tcPr>
            <w:tcW w:w="1113" w:type="dxa"/>
            <w:vAlign w:val="center"/>
            <w:textDirection w:val="lrTb"/>
            <w:noWrap w:val="false"/>
          </w:tcPr>
          <w:p>
            <w:pPr>
              <w:pStyle w:val="1070"/>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596" w:type="dxa"/>
            <w:vAlign w:val="center"/>
            <w:textDirection w:val="lrTb"/>
            <w:noWrap w:val="false"/>
          </w:tcPr>
          <w:p>
            <w:pPr>
              <w:pStyle w:val="1070"/>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74" w:type="dxa"/>
            <w:vAlign w:val="center"/>
            <w:textDirection w:val="lrTb"/>
            <w:noWrap w:val="false"/>
          </w:tcPr>
          <w:p>
            <w:pPr>
              <w:pStyle w:val="1070"/>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44" w:type="dxa"/>
            <w:vAlign w:val="center"/>
            <w:textDirection w:val="lrTb"/>
            <w:noWrap w:val="false"/>
          </w:tcPr>
          <w:p>
            <w:pPr>
              <w:pStyle w:val="1070"/>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67" w:type="dxa"/>
            <w:vAlign w:val="center"/>
            <w:textDirection w:val="lrTb"/>
            <w:noWrap w:val="false"/>
          </w:tcPr>
          <w:p>
            <w:pPr>
              <w:pStyle w:val="1070"/>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06" w:type="dxa"/>
            <w:vAlign w:val="center"/>
            <w:textDirection w:val="lrTb"/>
            <w:noWrap w:val="false"/>
          </w:tcPr>
          <w:p>
            <w:pPr>
              <w:pStyle w:val="1070"/>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600"/>
        </w:trPr>
        <w:tc>
          <w:tcPr>
            <w:tcW w:w="1113"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59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74"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644"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67"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0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总价（大写）：人民币  万   仟  佰  圆整</w:t>
            </w:r>
            <w:r>
              <w:rPr>
                <w:rFonts w:hint="eastAsia" w:ascii="宋体" w:hAnsi="宋体" w:cs="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hint="eastAsia" w:ascii="宋体" w:hAnsi="宋体"/>
          <w:b/>
          <w:bCs/>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bCs/>
          <w:color w:val="000000"/>
          <w:sz w:val="24"/>
          <w:highlight w:val="none"/>
        </w:rPr>
      </w:r>
      <w:r/>
    </w:p>
    <w:p>
      <w:pPr>
        <w:pStyle w:val="1070"/>
        <w:spacing w:line="360" w:lineRule="auto"/>
        <w:rPr>
          <w:rFonts w:hint="eastAsia"/>
          <w:color w:val="000000"/>
          <w:highlight w:val="none"/>
        </w:rPr>
      </w:pPr>
      <w:r>
        <w:rPr>
          <w:rFonts w:hint="eastAsia" w:ascii="宋体" w:hAnsi="宋体" w:cs="宋体"/>
          <w:color w:val="000000"/>
          <w:sz w:val="24"/>
          <w:highlight w:val="none"/>
          <w:lang w:val="zh-CN" w:bidi="ar"/>
        </w:rPr>
        <w:t xml:space="preserve">本合同总价款还包含乙方应当提供的伴随服务/售后服务费用。</w:t>
      </w:r>
      <w:r>
        <w:rPr>
          <w:rFonts w:hint="eastAsia"/>
          <w:color w:val="000000"/>
          <w:highlight w:val="none"/>
        </w:rPr>
      </w:r>
      <w:r/>
    </w:p>
    <w:p>
      <w:pPr>
        <w:pStyle w:val="1070"/>
        <w:ind w:firstLine="482"/>
        <w:spacing w:line="360" w:lineRule="auto"/>
        <w:tabs>
          <w:tab w:val="left" w:pos="284" w:leader="none"/>
        </w:tabs>
        <w:rPr>
          <w:rFonts w:hAnsi="宋体" w:cs="宋体"/>
          <w:b/>
          <w:color w:val="000000"/>
          <w:sz w:val="24"/>
          <w:highlight w:val="none"/>
        </w:rPr>
      </w:pPr>
      <w:r>
        <w:rPr>
          <w:rFonts w:hAnsi="宋体" w:cs="宋体"/>
          <w:b/>
          <w:color w:val="000000"/>
          <w:sz w:val="24"/>
          <w:highlight w:val="none"/>
        </w:rPr>
        <w:t xml:space="preserve">第三条 组成本合同的有关文件</w:t>
      </w:r>
      <w:r>
        <w:rPr>
          <w:rFonts w:hAnsi="宋体" w:cs="宋体"/>
          <w:b/>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履约保证金</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安装调试验收合格，临床科室开具领用单，开具发票入库后壹个月内付，采购人支付成交供应商至合同款项的100%。 </w:t>
      </w:r>
      <w:r>
        <w:rPr>
          <w:rFonts w:hint="eastAsia"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违约责任</w:t>
      </w:r>
      <w:r>
        <w:rPr>
          <w:rFonts w:ascii="宋体" w:hAnsi="宋体" w:cs="宋体"/>
          <w:b/>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质量问题或缺陷的索赔</w:t>
      </w:r>
      <w:r>
        <w:rPr>
          <w:rFonts w:ascii="宋体" w:hAnsi="宋体" w:cs="宋体"/>
          <w:b/>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第十八条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4.本合同包含附件1配置清单、附件2中标通知书。</w:t>
      </w:r>
      <w:r>
        <w:rPr>
          <w:rFonts w:hint="eastAsia" w:ascii="宋体" w:hAnsi="宋体" w:eastAsia="宋体" w:cs="宋体"/>
          <w:color w:val="000000"/>
          <w:sz w:val="24"/>
          <w:highlight w:val="none"/>
          <w:lang w:val="en-US" w:eastAsia="zh-CN"/>
        </w:rPr>
      </w:r>
      <w:r/>
    </w:p>
    <w:p>
      <w:pPr>
        <w:pStyle w:val="1070"/>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0"/>
        <w:rPr>
          <w:rFonts w:hint="eastAsia"/>
          <w:bCs/>
          <w:color w:val="000000"/>
          <w:szCs w:val="21"/>
          <w:highlight w:val="none"/>
        </w:rPr>
      </w:pPr>
      <w:r>
        <w:rPr>
          <w:rFonts w:hint="eastAsia"/>
          <w:bCs/>
          <w:color w:val="000000"/>
          <w:szCs w:val="21"/>
          <w:highlight w:val="none"/>
        </w:rPr>
        <w:t xml:space="preserve">  </w:t>
      </w:r>
      <w:r>
        <w:rPr>
          <w:rFonts w:hint="eastAsia"/>
          <w:bCs/>
          <w:color w:val="000000"/>
          <w:szCs w:val="21"/>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11"/>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3" w:name="_Toc226965829"/>
      <w:r/>
      <w:bookmarkStart w:id="814" w:name="_Ref467988698"/>
      <w:r/>
      <w:bookmarkStart w:id="815" w:name="_Toc520356217"/>
      <w:r/>
      <w:bookmarkStart w:id="816" w:name="_Toc480942349"/>
      <w:r/>
      <w:bookmarkStart w:id="817" w:name="_Toc226309800"/>
      <w:r/>
      <w:bookmarkStart w:id="818" w:name="_Toc150774761"/>
      <w:r/>
      <w:bookmarkStart w:id="819" w:name="_Toc226965746"/>
      <w:r/>
      <w:bookmarkStart w:id="820" w:name="_Toc142311058"/>
      <w:r/>
      <w:bookmarkStart w:id="821" w:name="_Toc150480794"/>
      <w:r/>
      <w:bookmarkStart w:id="822" w:name="_Toc195842921"/>
      <w:r/>
      <w:bookmarkStart w:id="823" w:name="_Toc226337252"/>
      <w:r/>
      <w:bookmarkStart w:id="824" w:name="_Toc127151556"/>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25" w:name="_Hlt520356243"/>
      <w:r/>
      <w:bookmarkEnd w:id="825"/>
      <w:r/>
      <w:bookmarkStart w:id="826" w:name="_Hlt520355938"/>
      <w:r/>
      <w:bookmarkEnd w:id="826"/>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1.法定代表人参加投标时，不需要提供本授权委托书，需提供本人身份证。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27" w:name="_Hlt520273711"/>
      <w:r/>
      <w:bookmarkEnd w:id="827"/>
      <w:r/>
      <w:bookmarkStart w:id="828" w:name="_Hlt520343000"/>
      <w:r/>
      <w:bookmarkEnd w:id="828"/>
      <w:r/>
      <w:bookmarkStart w:id="829" w:name="_Hlt520274393"/>
      <w:r/>
      <w:bookmarkEnd w:id="829"/>
      <w:r/>
      <w:bookmarkStart w:id="830" w:name="_Hlt520343392"/>
      <w:r/>
      <w:bookmarkEnd w:id="830"/>
      <w:r/>
      <w:bookmarkStart w:id="831" w:name="_Hlt520274407"/>
      <w:r/>
      <w:bookmarkEnd w:id="831"/>
      <w:r/>
      <w:bookmarkStart w:id="832" w:name="_Hlt520274065"/>
      <w:r/>
      <w:bookmarkEnd w:id="832"/>
      <w:r/>
      <w:bookmarkStart w:id="833" w:name="_Hlt520274121"/>
      <w:r/>
      <w:bookmarkEnd w:id="833"/>
      <w:r/>
      <w:bookmarkStart w:id="834" w:name="_Hlt520271212"/>
      <w:r/>
      <w:bookmarkEnd w:id="834"/>
      <w:r/>
      <w:bookmarkStart w:id="835" w:name="_Hlt520355504"/>
      <w:r/>
      <w:bookmarkEnd w:id="835"/>
      <w:r/>
      <w:bookmarkStart w:id="836" w:name="_Hlt520350918"/>
      <w:r/>
      <w:bookmarkEnd w:id="836"/>
      <w:r/>
      <w:bookmarkStart w:id="837" w:name="_Toc150480795"/>
      <w:r/>
      <w:bookmarkStart w:id="838" w:name="_Toc226965830"/>
      <w:r/>
      <w:bookmarkStart w:id="839" w:name="_Toc195842922"/>
      <w:r/>
      <w:bookmarkStart w:id="840" w:name="_Toc264969247"/>
      <w:r/>
      <w:bookmarkStart w:id="841" w:name="_Toc150774762"/>
      <w:r/>
      <w:bookmarkStart w:id="842" w:name="_Toc265228395"/>
      <w:r/>
      <w:bookmarkStart w:id="843" w:name="_Toc305158825"/>
      <w:r/>
      <w:bookmarkStart w:id="844" w:name="_Toc305158899"/>
      <w:r/>
      <w:bookmarkStart w:id="845" w:name="_Toc480942350"/>
      <w:r/>
      <w:bookmarkStart w:id="846" w:name="_Toc142311059"/>
      <w:r/>
      <w:bookmarkStart w:id="847" w:name="_Ref467988705"/>
      <w:r/>
      <w:bookmarkStart w:id="848" w:name="_Toc226337253"/>
      <w:r/>
      <w:bookmarkStart w:id="849" w:name="_Toc520356218"/>
      <w:r/>
      <w:bookmarkStart w:id="850" w:name="_Toc127151557"/>
      <w:r/>
      <w:bookmarkStart w:id="851" w:name="_Toc226309801"/>
      <w:r/>
      <w:bookmarkStart w:id="852" w:name="_Toc22696574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3" w:name="_Toc226309802"/>
      <w:r/>
      <w:bookmarkStart w:id="854" w:name="_Toc164608827"/>
      <w:r/>
      <w:bookmarkStart w:id="855" w:name="_Toc226965831"/>
      <w:r/>
      <w:bookmarkStart w:id="856" w:name="_Toc305158900"/>
      <w:r/>
      <w:bookmarkStart w:id="857" w:name="_Toc226965748"/>
      <w:r/>
      <w:bookmarkStart w:id="858" w:name="_Toc264969248"/>
      <w:r/>
      <w:bookmarkStart w:id="859" w:name="_Toc265228396"/>
      <w:r/>
      <w:bookmarkStart w:id="860" w:name="_Toc305158826"/>
      <w:r/>
      <w:bookmarkStart w:id="861" w:name="_Toc195842923"/>
      <w:r/>
      <w:bookmarkStart w:id="862" w:name="_Toc226337254"/>
      <w:r/>
      <w:bookmarkStart w:id="863" w:name="_Toc164608672"/>
      <w:r>
        <w:rPr>
          <w:rFonts w:hint="eastAsia" w:ascii="宋体" w:hAnsi="宋体"/>
          <w:b/>
          <w:color w:val="000000"/>
          <w:sz w:val="36"/>
          <w:szCs w:val="36"/>
          <w:highlight w:val="none"/>
        </w:rPr>
        <w:t xml:space="preserve">开标一览表</w:t>
      </w:r>
      <w:bookmarkEnd w:id="853"/>
      <w:r/>
      <w:bookmarkEnd w:id="854"/>
      <w:r/>
      <w:bookmarkEnd w:id="855"/>
      <w:r/>
      <w:bookmarkEnd w:id="856"/>
      <w:r/>
      <w:bookmarkEnd w:id="857"/>
      <w:r/>
      <w:bookmarkEnd w:id="858"/>
      <w:r/>
      <w:bookmarkEnd w:id="859"/>
      <w:r/>
      <w:bookmarkEnd w:id="860"/>
      <w:r/>
      <w:bookmarkEnd w:id="861"/>
      <w:r/>
      <w:bookmarkEnd w:id="862"/>
      <w:r/>
      <w:bookmarkEnd w:id="863"/>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4" w:name="_Toc226309803"/>
      <w:r/>
      <w:bookmarkStart w:id="865" w:name="_Toc305158827"/>
      <w:r/>
      <w:bookmarkStart w:id="866" w:name="_Toc150774763"/>
      <w:r/>
      <w:bookmarkStart w:id="867" w:name="_Toc305158901"/>
      <w:r/>
      <w:bookmarkStart w:id="868" w:name="_Toc142311060"/>
      <w:r/>
      <w:bookmarkStart w:id="869" w:name="_Toc226965749"/>
      <w:r/>
      <w:bookmarkStart w:id="870" w:name="_Toc264969249"/>
      <w:r/>
      <w:bookmarkStart w:id="871" w:name="_Toc226337255"/>
      <w:r/>
      <w:bookmarkStart w:id="872" w:name="_Toc195842924"/>
      <w:r/>
      <w:bookmarkStart w:id="873" w:name="_Toc265228397"/>
      <w:r/>
      <w:bookmarkStart w:id="874" w:name="_Toc226965832"/>
      <w:r/>
      <w:bookmarkStart w:id="875" w:name="_Toc127151558"/>
      <w:r/>
      <w:bookmarkStart w:id="876" w:name="_Toc150480796"/>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77" w:name="_Toc150480798"/>
      <w:r/>
      <w:bookmarkStart w:id="878" w:name="_Toc226309806"/>
      <w:r/>
      <w:bookmarkStart w:id="879" w:name="_Toc226965835"/>
      <w:r/>
      <w:bookmarkStart w:id="880" w:name="_Toc226965752"/>
      <w:r/>
      <w:bookmarkStart w:id="881" w:name="_Toc305158904"/>
      <w:r/>
      <w:bookmarkStart w:id="882" w:name="_Toc142311062"/>
      <w:r/>
      <w:bookmarkStart w:id="883" w:name="_Toc127151562"/>
      <w:r/>
      <w:bookmarkStart w:id="884" w:name="_Toc264969252"/>
      <w:r/>
      <w:bookmarkStart w:id="885" w:name="_Toc265228400"/>
      <w:r/>
      <w:bookmarkStart w:id="886" w:name="_Toc226337258"/>
      <w:r/>
      <w:bookmarkStart w:id="887" w:name="_Toc195842927"/>
      <w:r/>
      <w:bookmarkStart w:id="888" w:name="_Toc305158830"/>
      <w:r/>
      <w:bookmarkStart w:id="889" w:name="_Toc150774765"/>
      <w:r/>
      <w:bookmarkStart w:id="890" w:name="_Toc226309805"/>
      <w:r/>
      <w:bookmarkStart w:id="891" w:name="_Toc305158829"/>
      <w:r/>
      <w:bookmarkStart w:id="892" w:name="_Toc305158903"/>
      <w:r/>
      <w:bookmarkStart w:id="893" w:name="_Toc264969251"/>
      <w:r/>
      <w:bookmarkStart w:id="894" w:name="_Toc226337257"/>
      <w:r/>
      <w:bookmarkStart w:id="895" w:name="_Toc265228399"/>
      <w:r/>
      <w:bookmarkStart w:id="896" w:name="_Toc226965834"/>
      <w:r/>
      <w:bookmarkStart w:id="897" w:name="_Toc226965751"/>
      <w:r/>
      <w:bookmarkStart w:id="898" w:name="_Toc150774764"/>
      <w:r/>
      <w:bookmarkStart w:id="899" w:name="_Toc150480797"/>
      <w:r/>
      <w:bookmarkStart w:id="900" w:name="_Toc127151561"/>
      <w:r/>
      <w:bookmarkStart w:id="901" w:name="_Toc195842926"/>
      <w:r/>
      <w:bookmarkStart w:id="902" w:name="_Toc142311061"/>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bookmarkStart w:id="903" w:name="OLE_LINK2"/>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bookmarkEnd w:id="903"/>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ind w:right="360"/>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4" w:name="_Toc288738397"/>
      <w:r/>
      <w:bookmarkStart w:id="905" w:name="_Toc288738839"/>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4"/>
      <w:r/>
      <w:bookmarkEnd w:id="905"/>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spacing w:before="25" w:after="25"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b/>
          <w:color w:val="000000"/>
          <w:sz w:val="24"/>
          <w:szCs w:val="20"/>
          <w:highlight w:val="none"/>
        </w:rPr>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3"/>
      </w:rPr>
      <w:framePr w:wrap="around" w:vAnchor="text" w:hAnchor="margin" w:y="1"/>
    </w:pPr>
    <w:r>
      <w:rPr>
        <w:rStyle w:val="1143"/>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5"/>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5"/>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2"/>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80"/>
      <w:isLgl w:val="false"/>
      <w:suff w:val="tab"/>
      <w:lvlText w:val="%1"/>
      <w:lvlJc w:val="left"/>
      <w:pPr>
        <w:pStyle w:val="1070"/>
        <w:ind w:left="680" w:hanging="680"/>
      </w:pPr>
      <w:rPr>
        <w:rFonts w:hint="eastAsia" w:ascii="宋体" w:hAnsi="宋体" w:eastAsia="宋体"/>
      </w:rPr>
    </w:lvl>
    <w:lvl w:ilvl="1">
      <w:start w:val="1"/>
      <w:numFmt w:val="decimal"/>
      <w:pStyle w:val="1281"/>
      <w:isLgl w:val="false"/>
      <w:suff w:val="tab"/>
      <w:lvlText w:val="%1.%2"/>
      <w:lvlJc w:val="left"/>
      <w:pPr>
        <w:pStyle w:val="1070"/>
        <w:ind w:left="851" w:hanging="851"/>
      </w:pPr>
      <w:rPr>
        <w:rFonts w:hint="eastAsia" w:ascii="宋体" w:hAnsi="宋体" w:eastAsia="宋体"/>
        <w:color w:val="000000"/>
      </w:rPr>
    </w:lvl>
    <w:lvl w:ilvl="2">
      <w:start w:val="1"/>
      <w:numFmt w:val="decimal"/>
      <w:pStyle w:val="1282"/>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70"/>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字符"/>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字符"/>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字符"/>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字符"/>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字符"/>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字符"/>
    <w:next w:val="1134"/>
    <w:link w:val="1133"/>
    <w:qFormat/>
    <w:rPr>
      <w:b/>
      <w:sz w:val="32"/>
    </w:rPr>
  </w:style>
  <w:style w:type="paragraph" w:styleId="1135">
    <w:name w:val="批注主题"/>
    <w:basedOn w:val="1097"/>
    <w:next w:val="1097"/>
    <w:link w:val="1136"/>
    <w:qFormat/>
    <w:rPr>
      <w:b/>
      <w:bCs/>
    </w:rPr>
  </w:style>
  <w:style w:type="character" w:styleId="1136">
    <w:name w:val="批注主题 字符"/>
    <w:next w:val="1136"/>
    <w:link w:val="1135"/>
    <w:qFormat/>
    <w:rPr>
      <w:rFonts w:ascii="Times New Roman" w:hAnsi="Times New Roman" w:eastAsia="宋体" w:cs="Times New Roman"/>
      <w:b/>
      <w:bCs/>
      <w:sz w:val="21"/>
      <w:szCs w:val="24"/>
      <w:lang w:val="en-US" w:eastAsia="zh-CN" w:bidi="ar-SA"/>
    </w:rPr>
  </w:style>
  <w:style w:type="paragraph" w:styleId="1137">
    <w:name w:val="正文首行缩进"/>
    <w:next w:val="1137"/>
    <w:link w:val="1070"/>
    <w:qFormat/>
    <w:pPr>
      <w:ind w:firstLine="420"/>
      <w:widowControl w:val="off"/>
    </w:pPr>
    <w:rPr>
      <w:rFonts w:ascii="宋体" w:hAnsi="宋体" w:cs="宋体"/>
      <w:sz w:val="24"/>
      <w:szCs w:val="24"/>
      <w:lang w:val="en-US" w:eastAsia="en-US" w:bidi="ar-SA"/>
    </w:rPr>
  </w:style>
  <w:style w:type="paragraph" w:styleId="1138">
    <w:name w:val="正文首行缩进 2"/>
    <w:basedOn w:val="1103"/>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1"/>
    <w:next w:val="1140"/>
    <w:link w:val="1070"/>
    <w:uiPriority w:val="39"/>
    <w:qFormat/>
    <w:tblPr/>
  </w:style>
  <w:style w:type="table" w:styleId="1141">
    <w:name w:val="中等深浅网格 1 - 强调文字颜色 2"/>
    <w:basedOn w:val="1081"/>
    <w:next w:val="1141"/>
    <w:link w:val="1070"/>
    <w:qFormat/>
    <w:rPr>
      <w:sz w:val="21"/>
      <w:szCs w:val="24"/>
    </w:rPr>
    <w:tblPr/>
  </w:style>
  <w:style w:type="character" w:styleId="1142">
    <w:name w:val="要点"/>
    <w:next w:val="1142"/>
    <w:link w:val="1070"/>
    <w:qFormat/>
    <w:rPr>
      <w:b/>
      <w:bCs/>
    </w:rPr>
  </w:style>
  <w:style w:type="character" w:styleId="1143">
    <w:name w:val="页码"/>
    <w:next w:val="1143"/>
    <w:link w:val="1070"/>
    <w:qFormat/>
  </w:style>
  <w:style w:type="character" w:styleId="1144">
    <w:name w:val="已访问的超链接"/>
    <w:next w:val="1144"/>
    <w:link w:val="1070"/>
    <w:qFormat/>
    <w:rPr>
      <w:color w:val="333333"/>
      <w:u w:val="none"/>
    </w:rPr>
  </w:style>
  <w:style w:type="character" w:styleId="1145">
    <w:name w:val="强调"/>
    <w:next w:val="1145"/>
    <w:link w:val="1070"/>
    <w:qFormat/>
    <w:rPr>
      <w:color w:val="cc0033"/>
    </w:rPr>
  </w:style>
  <w:style w:type="character" w:styleId="1146">
    <w:name w:val="超链接"/>
    <w:next w:val="1146"/>
    <w:link w:val="1070"/>
    <w:uiPriority w:val="99"/>
    <w:qFormat/>
    <w:rPr>
      <w:color w:val="333333"/>
      <w:u w:val="none"/>
    </w:rPr>
  </w:style>
  <w:style w:type="character" w:styleId="1147">
    <w:name w:val="批注引用"/>
    <w:next w:val="1147"/>
    <w:link w:val="1070"/>
    <w:uiPriority w:val="99"/>
    <w:qFormat/>
    <w:rPr>
      <w:sz w:val="21"/>
      <w:szCs w:val="21"/>
    </w:rPr>
  </w:style>
  <w:style w:type="character" w:styleId="1148">
    <w:name w:val="HTML 引文"/>
    <w:next w:val="1148"/>
    <w:link w:val="1070"/>
    <w:qFormat/>
    <w:rPr>
      <w:i/>
      <w:iCs/>
    </w:rPr>
  </w:style>
  <w:style w:type="character" w:styleId="1149">
    <w:name w:val="标题 2 Char"/>
    <w:next w:val="1149"/>
    <w:link w:val="1070"/>
    <w:qFormat/>
    <w:rPr>
      <w:rFonts w:ascii="Arial" w:hAnsi="Arial" w:eastAsia="黑体"/>
      <w:b/>
      <w:sz w:val="30"/>
      <w:lang w:val="en-US" w:eastAsia="zh-CN" w:bidi="ar-SA"/>
    </w:rPr>
  </w:style>
  <w:style w:type="character" w:styleId="1150">
    <w:name w:val="批注文字 字符"/>
    <w:next w:val="1150"/>
    <w:link w:val="1070"/>
    <w:uiPriority w:val="99"/>
    <w:qFormat/>
    <w:rPr>
      <w:rFonts w:ascii="Times New Roman" w:hAnsi="Times New Roman" w:eastAsia="宋体" w:cs="Times New Roman"/>
      <w:sz w:val="24"/>
      <w:lang w:val="en-US" w:eastAsia="zh-CN" w:bidi="ar-SA"/>
    </w:rPr>
  </w:style>
  <w:style w:type="character" w:styleId="1151">
    <w:name w:val="c21"/>
    <w:next w:val="1151"/>
    <w:link w:val="1070"/>
    <w:qFormat/>
    <w:rPr>
      <w:rFonts w:ascii="ˎ̥" w:hAnsi="ˎ̥"/>
      <w:color w:val="000000"/>
      <w:sz w:val="20"/>
      <w:szCs w:val="20"/>
      <w:u w:val="none"/>
    </w:rPr>
  </w:style>
  <w:style w:type="character" w:styleId="1152">
    <w:name w:val="title4"/>
    <w:next w:val="1152"/>
    <w:link w:val="1070"/>
    <w:qFormat/>
    <w:rPr>
      <w:b/>
      <w:bCs/>
      <w:color w:val="1d87b3"/>
      <w:sz w:val="15"/>
      <w:szCs w:val="15"/>
    </w:rPr>
  </w:style>
  <w:style w:type="character" w:styleId="1153">
    <w:name w:val="标题 2 Char Char"/>
    <w:next w:val="1153"/>
    <w:link w:val="1070"/>
    <w:qFormat/>
    <w:rPr>
      <w:rFonts w:ascii="Arial" w:hAnsi="Arial" w:eastAsia="黑体"/>
      <w:b/>
      <w:bCs/>
      <w:sz w:val="32"/>
      <w:szCs w:val="32"/>
      <w:lang w:val="en-US" w:eastAsia="zh-CN" w:bidi="ar-SA"/>
    </w:rPr>
  </w:style>
  <w:style w:type="character" w:styleId="1154">
    <w:name w:val="black1"/>
    <w:next w:val="1154"/>
    <w:link w:val="1070"/>
    <w:qFormat/>
    <w:rPr>
      <w:color w:val="000000"/>
    </w:rPr>
  </w:style>
  <w:style w:type="character" w:styleId="1155">
    <w:name w:val="street-address"/>
    <w:next w:val="1155"/>
    <w:link w:val="1070"/>
    <w:qFormat/>
  </w:style>
  <w:style w:type="character" w:styleId="1156">
    <w:name w:val="locality"/>
    <w:next w:val="1156"/>
    <w:link w:val="1070"/>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0"/>
    <w:next w:val="1158"/>
    <w:link w:val="1157"/>
    <w:qFormat/>
    <w:pPr>
      <w:ind w:firstLine="480"/>
      <w:spacing w:line="480" w:lineRule="exact"/>
    </w:pPr>
    <w:rPr>
      <w:rFonts w:ascii="宋体" w:hAnsi="宋体"/>
      <w:sz w:val="24"/>
    </w:rPr>
  </w:style>
  <w:style w:type="character" w:styleId="1159">
    <w:name w:val="Char Char11"/>
    <w:next w:val="1159"/>
    <w:link w:val="1070"/>
    <w:qFormat/>
    <w:rPr>
      <w:rFonts w:ascii="宋体" w:eastAsia="宋体"/>
      <w:b/>
      <w:sz w:val="24"/>
      <w:u w:val="single"/>
      <w:lang w:val="en-US" w:eastAsia="zh-CN" w:bidi="ar-SA"/>
    </w:rPr>
  </w:style>
  <w:style w:type="character" w:styleId="1160">
    <w:name w:val="txt"/>
    <w:next w:val="1160"/>
    <w:link w:val="1070"/>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0"/>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0"/>
    <w:qFormat/>
    <w:rPr>
      <w:rFonts w:ascii="宋体" w:hAnsi="Courier New" w:eastAsia="宋体"/>
      <w:sz w:val="21"/>
      <w:lang w:val="en-US" w:eastAsia="zh-CN" w:bidi="ar-SA"/>
    </w:rPr>
  </w:style>
  <w:style w:type="character" w:styleId="1164">
    <w:name w:val="chanpin1"/>
    <w:next w:val="1164"/>
    <w:link w:val="1070"/>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0"/>
    <w:next w:val="1166"/>
    <w:link w:val="1165"/>
    <w:uiPriority w:val="34"/>
    <w:qFormat/>
    <w:pPr>
      <w:ind w:firstLine="420"/>
    </w:pPr>
    <w:rPr>
      <w:rFonts w:ascii="Calibri" w:hAnsi="Calibri"/>
      <w:szCs w:val="22"/>
    </w:rPr>
  </w:style>
  <w:style w:type="character" w:styleId="1167">
    <w:name w:val="标题 3 Char Char"/>
    <w:next w:val="1167"/>
    <w:link w:val="1070"/>
    <w:qFormat/>
    <w:rPr>
      <w:rFonts w:eastAsia="宋体"/>
      <w:b/>
      <w:bCs/>
      <w:sz w:val="32"/>
      <w:szCs w:val="32"/>
      <w:lang w:val="en-US" w:eastAsia="zh-CN" w:bidi="ar-SA"/>
    </w:rPr>
  </w:style>
  <w:style w:type="character" w:styleId="1168">
    <w:name w:val="段1 Char"/>
    <w:next w:val="1168"/>
    <w:link w:val="1070"/>
    <w:qFormat/>
    <w:rPr>
      <w:rFonts w:ascii="宋体" w:eastAsia="宋体"/>
      <w:sz w:val="24"/>
      <w:lang w:val="en-US" w:eastAsia="zh-CN" w:bidi="ar-SA"/>
    </w:rPr>
  </w:style>
  <w:style w:type="character" w:styleId="1169">
    <w:name w:val="chanpin拷贝"/>
    <w:next w:val="1169"/>
    <w:link w:val="1070"/>
    <w:qFormat/>
  </w:style>
  <w:style w:type="character" w:styleId="1170">
    <w:name w:val="纯文本 Char1"/>
    <w:next w:val="1170"/>
    <w:link w:val="1070"/>
    <w:uiPriority w:val="99"/>
    <w:qFormat/>
    <w:rPr>
      <w:rFonts w:ascii="宋体" w:hAnsi="Courier New" w:eastAsia="宋体"/>
      <w:sz w:val="21"/>
      <w:lang w:val="en-US" w:eastAsia="zh-CN" w:bidi="ar-SA"/>
    </w:rPr>
  </w:style>
  <w:style w:type="character" w:styleId="1171">
    <w:name w:val="apple-style-span"/>
    <w:next w:val="1171"/>
    <w:link w:val="1070"/>
    <w:qFormat/>
    <w:rPr>
      <w:rFonts w:cs="Times New Roman"/>
    </w:rPr>
  </w:style>
  <w:style w:type="paragraph" w:styleId="1172">
    <w:name w:val="二级条标题"/>
    <w:basedOn w:val="1173"/>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0"/>
    <w:link w:val="1070"/>
    <w:qFormat/>
    <w:pPr>
      <w:numPr>
        <w:ilvl w:val="1"/>
      </w:numPr>
      <w:ind w:left="0" w:hanging="840"/>
      <w:tabs>
        <w:tab w:val="left" w:pos="360" w:leader="none"/>
        <w:tab w:val="left" w:pos="840" w:leader="none"/>
      </w:tabs>
      <w:outlineLvl w:val="1"/>
    </w:pPr>
  </w:style>
  <w:style w:type="paragraph" w:styleId="1174">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0"/>
    <w:next w:val="1175"/>
    <w:link w:val="1070"/>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0"/>
    <w:next w:val="1176"/>
    <w:link w:val="1070"/>
    <w:qFormat/>
    <w:rPr>
      <w:rFonts w:ascii="Tahoma" w:hAnsi="Tahoma"/>
      <w:sz w:val="24"/>
      <w:szCs w:val="20"/>
    </w:rPr>
  </w:style>
  <w:style w:type="paragraph" w:styleId="1177">
    <w:name w:val="Char3 Char Char Char"/>
    <w:basedOn w:val="1070"/>
    <w:next w:val="1177"/>
    <w:link w:val="1070"/>
    <w:qFormat/>
    <w:rPr>
      <w:rFonts w:ascii="Tahoma" w:hAnsi="Tahoma"/>
      <w:sz w:val="24"/>
      <w:szCs w:val="20"/>
    </w:rPr>
  </w:style>
  <w:style w:type="paragraph" w:styleId="1178">
    <w:name w:val="font6"/>
    <w:basedOn w:val="1070"/>
    <w:next w:val="1178"/>
    <w:link w:val="1070"/>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0"/>
    <w:qFormat/>
    <w:pPr>
      <w:numPr>
        <w:numId w:val="3"/>
      </w:numPr>
    </w:pPr>
  </w:style>
  <w:style w:type="paragraph" w:styleId="1180">
    <w:name w:val="项目编号1"/>
    <w:basedOn w:val="1070"/>
    <w:next w:val="1180"/>
    <w:link w:val="1070"/>
    <w:qFormat/>
    <w:pPr>
      <w:numPr>
        <w:ilvl w:val="0"/>
        <w:numId w:val="2"/>
      </w:numPr>
      <w:spacing w:before="100" w:beforeAutospacing="1" w:after="100" w:afterAutospacing="1" w:line="360" w:lineRule="auto"/>
    </w:pPr>
    <w:rPr>
      <w:sz w:val="24"/>
    </w:rPr>
  </w:style>
  <w:style w:type="paragraph" w:styleId="1181">
    <w:name w:val="图中文字"/>
    <w:basedOn w:val="1070"/>
    <w:next w:val="1181"/>
    <w:link w:val="1070"/>
    <w:qFormat/>
    <w:pPr>
      <w:jc w:val="center"/>
      <w:spacing w:line="0" w:lineRule="atLeast"/>
    </w:pPr>
    <w:rPr>
      <w:sz w:val="24"/>
      <w:szCs w:val="20"/>
    </w:rPr>
  </w:style>
  <w:style w:type="paragraph" w:styleId="1182">
    <w:name w:val="xl46"/>
    <w:basedOn w:val="1070"/>
    <w:next w:val="1182"/>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0"/>
    <w:next w:val="118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0"/>
    <w:next w:val="1184"/>
    <w:link w:val="1070"/>
    <w:qFormat/>
    <w:rPr>
      <w:rFonts w:ascii="Tahoma" w:hAnsi="Tahoma"/>
      <w:sz w:val="24"/>
      <w:szCs w:val="20"/>
    </w:rPr>
  </w:style>
  <w:style w:type="paragraph" w:styleId="1185">
    <w:name w:val="xl35"/>
    <w:basedOn w:val="1070"/>
    <w:next w:val="118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0"/>
    <w:next w:val="118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0"/>
    <w:next w:val="1188"/>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0"/>
    <w:next w:val="1189"/>
    <w:link w:val="1070"/>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0"/>
    <w:next w:val="1190"/>
    <w:link w:val="1070"/>
    <w:qFormat/>
    <w:pPr>
      <w:ind w:firstLine="200"/>
      <w:spacing w:line="360" w:lineRule="auto"/>
    </w:pPr>
    <w:rPr>
      <w:rFonts w:eastAsia="仿宋_GB2312"/>
      <w:sz w:val="24"/>
    </w:rPr>
  </w:style>
  <w:style w:type="paragraph" w:styleId="1191">
    <w:name w:val="xl38"/>
    <w:basedOn w:val="1070"/>
    <w:next w:val="119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0"/>
    <w:next w:val="1192"/>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0"/>
    <w:next w:val="1193"/>
    <w:link w:val="1070"/>
    <w:qFormat/>
    <w:pPr>
      <w:ind w:left="360" w:hanging="360"/>
      <w:jc w:val="left"/>
      <w:widowControl/>
    </w:pPr>
    <w:rPr>
      <w:rFonts w:ascii="宋体" w:hAnsi="宋体" w:cs="宋体"/>
      <w:b/>
      <w:bCs/>
      <w:color w:val="000000"/>
      <w:sz w:val="18"/>
      <w:szCs w:val="18"/>
    </w:rPr>
  </w:style>
  <w:style w:type="paragraph" w:styleId="1194">
    <w:name w:val="正文列项_数字"/>
    <w:basedOn w:val="1070"/>
    <w:next w:val="1194"/>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0"/>
    <w:next w:val="119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0"/>
    <w:next w:val="1196"/>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0"/>
    <w:next w:val="119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0"/>
    <w:next w:val="1198"/>
    <w:link w:val="1070"/>
    <w:qFormat/>
    <w:pPr>
      <w:jc w:val="left"/>
      <w:spacing w:before="100" w:beforeAutospacing="1" w:after="100" w:afterAutospacing="1"/>
      <w:widowControl/>
    </w:pPr>
    <w:rPr>
      <w:sz w:val="36"/>
      <w:szCs w:val="36"/>
    </w:rPr>
  </w:style>
  <w:style w:type="paragraph" w:styleId="1199">
    <w:name w:val="Char"/>
    <w:basedOn w:val="1070"/>
    <w:next w:val="1199"/>
    <w:link w:val="1070"/>
    <w:qFormat/>
    <w:pPr>
      <w:tabs>
        <w:tab w:val="left" w:pos="360" w:leader="none"/>
      </w:tabs>
    </w:pPr>
    <w:rPr>
      <w:sz w:val="24"/>
    </w:rPr>
  </w:style>
  <w:style w:type="paragraph" w:styleId="1200">
    <w:name w:val="Char Char Char Char Char Char Char Char Char Char Char Char Char Char Char Char"/>
    <w:basedOn w:val="1070"/>
    <w:next w:val="1200"/>
    <w:link w:val="1070"/>
    <w:qFormat/>
    <w:pPr>
      <w:jc w:val="center"/>
      <w:spacing w:after="160" w:line="240" w:lineRule="exact"/>
      <w:widowControl/>
    </w:pPr>
    <w:rPr>
      <w:rFonts w:ascii="宋体" w:hAnsi="宋体"/>
      <w:b/>
      <w:sz w:val="30"/>
      <w:szCs w:val="30"/>
      <w:lang w:eastAsia="en-US"/>
    </w:rPr>
  </w:style>
  <w:style w:type="paragraph" w:styleId="1201">
    <w:name w:val="xl45"/>
    <w:basedOn w:val="1070"/>
    <w:next w:val="1201"/>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0"/>
    <w:next w:val="1202"/>
    <w:link w:val="1070"/>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5"/>
    <w:next w:val="1203"/>
    <w:link w:val="1070"/>
    <w:qFormat/>
    <w:rPr>
      <w:rFonts w:ascii="Tahoma" w:hAnsi="Tahoma"/>
      <w:sz w:val="24"/>
    </w:rPr>
  </w:style>
  <w:style w:type="paragraph" w:styleId="1204">
    <w:name w:val="xl26"/>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0"/>
    <w:next w:val="120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0"/>
    <w:next w:val="1206"/>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0"/>
    <w:next w:val="1207"/>
    <w:link w:val="1070"/>
    <w:qFormat/>
    <w:pPr>
      <w:jc w:val="left"/>
    </w:pPr>
    <w:rPr>
      <w:rFonts w:ascii="宋体" w:hAnsi="宋体"/>
      <w:szCs w:val="20"/>
    </w:rPr>
  </w:style>
  <w:style w:type="paragraph" w:styleId="1208">
    <w:name w:val="Char1 Char Char Char1"/>
    <w:basedOn w:val="1070"/>
    <w:next w:val="1208"/>
    <w:link w:val="1070"/>
    <w:qFormat/>
    <w:rPr>
      <w:rFonts w:ascii="Tahoma" w:hAnsi="Tahoma" w:cs="仿宋_GB2312"/>
      <w:sz w:val="24"/>
      <w:szCs w:val="28"/>
    </w:rPr>
  </w:style>
  <w:style w:type="paragraph" w:styleId="1209">
    <w:name w:val="四级条标题"/>
    <w:basedOn w:val="1210"/>
    <w:next w:val="1070"/>
    <w:link w:val="1070"/>
    <w:qFormat/>
    <w:pPr>
      <w:numPr>
        <w:ilvl w:val="4"/>
      </w:numPr>
      <w:ind w:left="0" w:hanging="840"/>
      <w:tabs>
        <w:tab w:val="left" w:pos="360" w:leader="none"/>
        <w:tab w:val="left" w:pos="840" w:leader="none"/>
      </w:tabs>
      <w:outlineLvl w:val="4"/>
    </w:pPr>
  </w:style>
  <w:style w:type="paragraph" w:styleId="1210">
    <w:name w:val="三级条标题"/>
    <w:basedOn w:val="1172"/>
    <w:next w:val="1070"/>
    <w:link w:val="1070"/>
    <w:qFormat/>
    <w:pPr>
      <w:numPr>
        <w:ilvl w:val="3"/>
        <w:numId w:val="1"/>
      </w:numPr>
      <w:ind w:left="0" w:hanging="840"/>
      <w:tabs>
        <w:tab w:val="left" w:pos="360" w:leader="none"/>
        <w:tab w:val="left" w:pos="840" w:leader="none"/>
      </w:tabs>
      <w:outlineLvl w:val="3"/>
    </w:pPr>
  </w:style>
  <w:style w:type="paragraph" w:styleId="1211">
    <w:name w:val="??"/>
    <w:next w:val="1211"/>
    <w:link w:val="1070"/>
    <w:qFormat/>
    <w:pPr>
      <w:jc w:val="both"/>
      <w:widowControl w:val="off"/>
    </w:pPr>
    <w:rPr>
      <w:sz w:val="21"/>
      <w:lang w:val="en-US" w:eastAsia="en-US" w:bidi="ar-SA"/>
    </w:rPr>
  </w:style>
  <w:style w:type="paragraph" w:styleId="1212">
    <w:name w:val="样式 标题 2 + 宋体 五号 行距: 单倍行距"/>
    <w:basedOn w:val="1072"/>
    <w:next w:val="1212"/>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0"/>
    <w:next w:val="1213"/>
    <w:link w:val="1070"/>
    <w:qFormat/>
    <w:pPr>
      <w:ind w:firstLine="420"/>
    </w:pPr>
    <w:rPr>
      <w:rFonts w:ascii="Calibri" w:hAnsi="Calibri"/>
      <w:szCs w:val="22"/>
    </w:rPr>
  </w:style>
  <w:style w:type="paragraph" w:styleId="1214">
    <w:name w:val="项目符号1"/>
    <w:basedOn w:val="1215"/>
    <w:next w:val="1214"/>
    <w:link w:val="1070"/>
    <w:qFormat/>
    <w:pPr>
      <w:ind w:left="-25" w:firstLine="0"/>
    </w:pPr>
  </w:style>
  <w:style w:type="paragraph" w:styleId="1215">
    <w:name w:val="正文文本样式"/>
    <w:basedOn w:val="1070"/>
    <w:next w:val="1215"/>
    <w:link w:val="1070"/>
    <w:qFormat/>
    <w:pPr>
      <w:ind w:firstLine="482"/>
      <w:spacing w:line="360" w:lineRule="auto"/>
    </w:pPr>
    <w:rPr>
      <w:rFonts w:cs="宋体"/>
      <w:sz w:val="24"/>
      <w:szCs w:val="20"/>
    </w:rPr>
  </w:style>
  <w:style w:type="paragraph" w:styleId="1216">
    <w:name w:val="xl27"/>
    <w:basedOn w:val="1070"/>
    <w:next w:val="121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0"/>
    <w:next w:val="1217"/>
    <w:link w:val="1070"/>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0"/>
    <w:link w:val="1070"/>
    <w:qFormat/>
    <w:pPr>
      <w:numPr>
        <w:ilvl w:val="5"/>
      </w:numPr>
      <w:ind w:left="0" w:hanging="840"/>
      <w:tabs>
        <w:tab w:val="left" w:pos="360" w:leader="none"/>
        <w:tab w:val="left" w:pos="840" w:leader="none"/>
      </w:tabs>
      <w:outlineLvl w:val="5"/>
    </w:pPr>
  </w:style>
  <w:style w:type="paragraph" w:styleId="1219">
    <w:name w:val="xl49"/>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0"/>
    <w:next w:val="1220"/>
    <w:link w:val="1070"/>
    <w:qFormat/>
    <w:pPr>
      <w:spacing w:before="120" w:after="120" w:line="180" w:lineRule="auto"/>
    </w:pPr>
    <w:rPr>
      <w:rFonts w:ascii="Arial" w:hAnsi="Arial"/>
      <w:szCs w:val="20"/>
    </w:rPr>
  </w:style>
  <w:style w:type="paragraph" w:styleId="1221">
    <w:name w:val="xl33"/>
    <w:basedOn w:val="1070"/>
    <w:next w:val="122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0"/>
    <w:next w:val="122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0"/>
    <w:next w:val="1223"/>
    <w:link w:val="1070"/>
    <w:qFormat/>
    <w:rPr>
      <w:rFonts w:ascii="Tahoma" w:hAnsi="Tahoma"/>
      <w:sz w:val="24"/>
      <w:szCs w:val="20"/>
    </w:rPr>
  </w:style>
  <w:style w:type="paragraph" w:styleId="1224">
    <w:name w:val="xl44"/>
    <w:basedOn w:val="1070"/>
    <w:next w:val="1224"/>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0"/>
    <w:next w:val="1225"/>
    <w:link w:val="1070"/>
    <w:qFormat/>
    <w:pPr>
      <w:numPr>
        <w:ilvl w:val="0"/>
        <w:numId w:val="5"/>
      </w:numPr>
      <w:spacing w:before="120"/>
      <w:tabs>
        <w:tab w:val="left" w:pos="360" w:leader="none"/>
      </w:tabs>
    </w:pPr>
    <w:rPr>
      <w:rFonts w:ascii="宋体"/>
      <w:sz w:val="28"/>
      <w:szCs w:val="20"/>
    </w:rPr>
  </w:style>
  <w:style w:type="paragraph" w:styleId="1226">
    <w:name w:val="font9"/>
    <w:basedOn w:val="1070"/>
    <w:next w:val="1226"/>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0"/>
    <w:next w:val="1227"/>
    <w:link w:val="1070"/>
    <w:qFormat/>
    <w:rPr>
      <w:rFonts w:ascii="Tahoma" w:hAnsi="Tahoma"/>
      <w:sz w:val="24"/>
      <w:szCs w:val="20"/>
    </w:rPr>
  </w:style>
  <w:style w:type="paragraph" w:styleId="1228">
    <w:name w:val="Char Char Char Char Char Char Char Char Char Char"/>
    <w:basedOn w:val="1070"/>
    <w:next w:val="1228"/>
    <w:link w:val="1070"/>
    <w:qFormat/>
  </w:style>
  <w:style w:type="paragraph" w:styleId="1229">
    <w:name w:val="Char Char1 Char Char Char Char Char Char Char Char"/>
    <w:basedOn w:val="1070"/>
    <w:next w:val="1229"/>
    <w:link w:val="1070"/>
    <w:qFormat/>
    <w:pPr>
      <w:jc w:val="left"/>
      <w:spacing w:after="160" w:line="240" w:lineRule="exact"/>
      <w:widowControl/>
    </w:pPr>
    <w:rPr>
      <w:rFonts w:ascii="Verdana" w:hAnsi="Verdana"/>
      <w:sz w:val="20"/>
      <w:szCs w:val="20"/>
      <w:lang w:eastAsia="en-US"/>
    </w:rPr>
  </w:style>
  <w:style w:type="paragraph" w:styleId="1230">
    <w:name w:val="Char1"/>
    <w:basedOn w:val="1070"/>
    <w:next w:val="1230"/>
    <w:link w:val="1070"/>
    <w:qFormat/>
    <w:pPr>
      <w:tabs>
        <w:tab w:val="left" w:pos="360" w:leader="none"/>
      </w:tabs>
    </w:pPr>
    <w:rPr>
      <w:sz w:val="24"/>
    </w:rPr>
  </w:style>
  <w:style w:type="paragraph" w:styleId="1231">
    <w:name w:val="正文列项_字母"/>
    <w:basedOn w:val="1070"/>
    <w:next w:val="1231"/>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0"/>
    <w:next w:val="123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0"/>
    <w:next w:val="123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0"/>
    <w:next w:val="1234"/>
    <w:link w:val="1070"/>
    <w:qFormat/>
    <w:rPr>
      <w:rFonts w:ascii="Arial" w:hAnsi="Arial" w:cs="Arial"/>
      <w:szCs w:val="21"/>
    </w:rPr>
  </w:style>
  <w:style w:type="paragraph" w:styleId="1235">
    <w:name w:val="xl48"/>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0"/>
    <w:next w:val="123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0"/>
    <w:next w:val="1238"/>
    <w:link w:val="1070"/>
    <w:qFormat/>
    <w:rPr>
      <w:rFonts w:ascii="Tahoma" w:hAnsi="Tahoma"/>
      <w:sz w:val="24"/>
      <w:szCs w:val="20"/>
    </w:rPr>
  </w:style>
  <w:style w:type="paragraph" w:styleId="1239">
    <w:name w:val="xl50"/>
    <w:basedOn w:val="1070"/>
    <w:next w:val="1239"/>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0"/>
    <w:next w:val="1240"/>
    <w:link w:val="1070"/>
    <w:qFormat/>
    <w:pPr>
      <w:jc w:val="left"/>
    </w:pPr>
    <w:rPr>
      <w:sz w:val="24"/>
    </w:rPr>
  </w:style>
  <w:style w:type="paragraph" w:styleId="1241">
    <w:name w:val="Char Char Char1"/>
    <w:basedOn w:val="1070"/>
    <w:next w:val="1241"/>
    <w:link w:val="1070"/>
    <w:qFormat/>
    <w:rPr>
      <w:rFonts w:ascii="Tahoma" w:hAnsi="Tahoma"/>
      <w:sz w:val="24"/>
      <w:szCs w:val="20"/>
    </w:rPr>
  </w:style>
  <w:style w:type="paragraph" w:styleId="1242">
    <w:name w:val="Char Char Char Char Char Char Char1"/>
    <w:basedOn w:val="1070"/>
    <w:next w:val="1242"/>
    <w:link w:val="1070"/>
    <w:qFormat/>
    <w:pPr>
      <w:ind w:firstLine="200"/>
      <w:spacing w:line="360" w:lineRule="auto"/>
    </w:pPr>
    <w:rPr>
      <w:rFonts w:eastAsia="仿宋_GB2312"/>
      <w:sz w:val="24"/>
    </w:rPr>
  </w:style>
  <w:style w:type="paragraph" w:styleId="1243">
    <w:name w:val="xl51"/>
    <w:basedOn w:val="1070"/>
    <w:next w:val="1243"/>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2"/>
    <w:next w:val="1244"/>
    <w:link w:val="1070"/>
    <w:qFormat/>
    <w:pPr>
      <w:jc w:val="center"/>
      <w:spacing w:line="360" w:lineRule="auto"/>
    </w:pPr>
    <w:rPr>
      <w:sz w:val="24"/>
    </w:rPr>
  </w:style>
  <w:style w:type="paragraph" w:styleId="1245">
    <w:name w:val="xl24"/>
    <w:basedOn w:val="1070"/>
    <w:next w:val="124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0"/>
    <w:next w:val="1247"/>
    <w:link w:val="1070"/>
    <w:qFormat/>
    <w:pPr>
      <w:jc w:val="left"/>
      <w:widowControl/>
    </w:pPr>
    <w:rPr>
      <w:rFonts w:ascii="楷体_GB2312" w:eastAsia="楷体_GB2312" w:cs="Arial"/>
      <w:sz w:val="24"/>
    </w:rPr>
  </w:style>
  <w:style w:type="paragraph" w:styleId="1248">
    <w:name w:val="xl34"/>
    <w:basedOn w:val="1070"/>
    <w:next w:val="124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0"/>
    <w:next w:val="1249"/>
    <w:link w:val="1070"/>
    <w:qFormat/>
    <w:rPr>
      <w:rFonts w:ascii="Tahoma" w:hAnsi="Tahoma"/>
      <w:sz w:val="24"/>
      <w:szCs w:val="20"/>
    </w:rPr>
  </w:style>
  <w:style w:type="paragraph" w:styleId="1250">
    <w:name w:val="Default"/>
    <w:next w:val="1250"/>
    <w:link w:val="1070"/>
    <w:qFormat/>
    <w:pPr>
      <w:widowControl w:val="off"/>
    </w:pPr>
    <w:rPr>
      <w:rFonts w:ascii="Symbol" w:hAnsi="Symbol" w:cs="Symbol"/>
      <w:color w:val="000000"/>
      <w:sz w:val="24"/>
      <w:szCs w:val="24"/>
      <w:lang w:val="en-US" w:eastAsia="zh-CN" w:bidi="ar-SA"/>
    </w:rPr>
  </w:style>
  <w:style w:type="paragraph" w:styleId="1251">
    <w:name w:val="列出段落1"/>
    <w:basedOn w:val="1070"/>
    <w:next w:val="1251"/>
    <w:link w:val="1070"/>
    <w:qFormat/>
    <w:pPr>
      <w:ind w:firstLine="420"/>
    </w:pPr>
    <w:rPr>
      <w:rFonts w:ascii="Calibri" w:hAnsi="Calibri"/>
      <w:szCs w:val="22"/>
    </w:rPr>
  </w:style>
  <w:style w:type="paragraph" w:styleId="1252">
    <w:name w:val="default"/>
    <w:basedOn w:val="1070"/>
    <w:next w:val="1252"/>
    <w:link w:val="1070"/>
    <w:qFormat/>
    <w:pPr>
      <w:jc w:val="left"/>
      <w:spacing w:before="100" w:beforeAutospacing="1" w:after="100" w:afterAutospacing="1"/>
      <w:widowControl/>
    </w:pPr>
    <w:rPr>
      <w:rFonts w:ascii="宋体" w:hAnsi="宋体" w:cs="宋体"/>
      <w:sz w:val="24"/>
    </w:rPr>
  </w:style>
  <w:style w:type="paragraph" w:styleId="1253">
    <w:name w:val="字元 字元1"/>
    <w:basedOn w:val="1070"/>
    <w:next w:val="1253"/>
    <w:link w:val="1070"/>
    <w:qFormat/>
    <w:rPr>
      <w:rFonts w:ascii="Tahoma" w:hAnsi="Tahoma"/>
      <w:sz w:val="24"/>
      <w:szCs w:val="20"/>
    </w:rPr>
  </w:style>
  <w:style w:type="paragraph" w:styleId="1254">
    <w:name w:val="_Style 160"/>
    <w:next w:val="1254"/>
    <w:link w:val="1070"/>
    <w:qFormat/>
    <w:rPr>
      <w:sz w:val="21"/>
      <w:szCs w:val="24"/>
      <w:lang w:val="en-US" w:eastAsia="zh-CN" w:bidi="ar-SA"/>
    </w:rPr>
  </w:style>
  <w:style w:type="paragraph" w:styleId="1255">
    <w:name w:val="项目编号3"/>
    <w:basedOn w:val="1215"/>
    <w:next w:val="1255"/>
    <w:link w:val="1070"/>
    <w:qFormat/>
    <w:pPr>
      <w:numPr>
        <w:ilvl w:val="0"/>
        <w:numId w:val="6"/>
      </w:numPr>
    </w:pPr>
  </w:style>
  <w:style w:type="paragraph" w:styleId="1256">
    <w:name w:val="Char21"/>
    <w:basedOn w:val="1070"/>
    <w:next w:val="1256"/>
    <w:link w:val="1070"/>
    <w:qFormat/>
    <w:rPr>
      <w:rFonts w:ascii="Tahoma" w:hAnsi="Tahoma"/>
      <w:sz w:val="24"/>
      <w:szCs w:val="20"/>
    </w:rPr>
  </w:style>
  <w:style w:type="paragraph" w:styleId="1257">
    <w:name w:val="表格文字"/>
    <w:basedOn w:val="1103"/>
    <w:next w:val="1257"/>
    <w:link w:val="1070"/>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0"/>
    <w:next w:val="1258"/>
    <w:link w:val="1070"/>
    <w:qFormat/>
    <w:rPr>
      <w:rFonts w:ascii="宋体" w:hAnsi="宋体" w:cs="Courier New"/>
      <w:sz w:val="32"/>
      <w:szCs w:val="32"/>
    </w:rPr>
  </w:style>
  <w:style w:type="paragraph" w:styleId="1259">
    <w:name w:val="正文文本样式 加粗"/>
    <w:basedOn w:val="1215"/>
    <w:next w:val="1259"/>
    <w:link w:val="1070"/>
    <w:qFormat/>
    <w:rPr>
      <w:b/>
    </w:rPr>
  </w:style>
  <w:style w:type="paragraph" w:styleId="1260">
    <w:name w:val="Char2 Char Char Char Char Char Char"/>
    <w:basedOn w:val="1070"/>
    <w:next w:val="1260"/>
    <w:link w:val="1070"/>
    <w:qFormat/>
    <w:pPr>
      <w:jc w:val="center"/>
      <w:spacing w:line="400" w:lineRule="exact"/>
      <w:widowControl/>
    </w:pPr>
  </w:style>
  <w:style w:type="paragraph" w:styleId="1261">
    <w:name w:val="Char Char4"/>
    <w:basedOn w:val="1070"/>
    <w:next w:val="1261"/>
    <w:link w:val="1070"/>
    <w:qFormat/>
    <w:pPr>
      <w:jc w:val="center"/>
      <w:spacing w:line="400" w:lineRule="exact"/>
      <w:widowControl/>
    </w:pPr>
  </w:style>
  <w:style w:type="paragraph" w:styleId="1262">
    <w:name w:val="Char3 Char Char Char1"/>
    <w:basedOn w:val="1070"/>
    <w:next w:val="1262"/>
    <w:link w:val="1070"/>
    <w:qFormat/>
    <w:rPr>
      <w:rFonts w:ascii="Tahoma" w:hAnsi="Tahoma"/>
      <w:sz w:val="24"/>
      <w:szCs w:val="20"/>
    </w:rPr>
  </w:style>
  <w:style w:type="paragraph" w:styleId="1263">
    <w:name w:val="无间隔"/>
    <w:next w:val="1263"/>
    <w:link w:val="1070"/>
    <w:qFormat/>
    <w:pPr>
      <w:jc w:val="both"/>
      <w:widowControl w:val="off"/>
    </w:pPr>
    <w:rPr>
      <w:sz w:val="21"/>
      <w:szCs w:val="24"/>
      <w:lang w:val="en-US" w:eastAsia="zh-CN" w:bidi="ar-SA"/>
    </w:rPr>
  </w:style>
  <w:style w:type="paragraph" w:styleId="1264">
    <w:name w:val="22222222222222"/>
    <w:basedOn w:val="1070"/>
    <w:next w:val="1264"/>
    <w:link w:val="1070"/>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0"/>
    <w:next w:val="1267"/>
    <w:link w:val="1070"/>
    <w:qFormat/>
    <w:pPr>
      <w:spacing w:after="50" w:line="360" w:lineRule="auto"/>
    </w:pPr>
    <w:rPr>
      <w:sz w:val="24"/>
    </w:rPr>
  </w:style>
  <w:style w:type="paragraph" w:styleId="1268">
    <w:name w:val="xl23"/>
    <w:basedOn w:val="1070"/>
    <w:next w:val="1268"/>
    <w:link w:val="1070"/>
    <w:qFormat/>
    <w:pPr>
      <w:spacing w:before="100" w:beforeAutospacing="1" w:after="100" w:afterAutospacing="1" w:line="360" w:lineRule="auto"/>
      <w:widowControl/>
    </w:pPr>
    <w:rPr>
      <w:sz w:val="24"/>
      <w:szCs w:val="20"/>
    </w:rPr>
  </w:style>
  <w:style w:type="paragraph" w:styleId="1269">
    <w:name w:val="正文表格"/>
    <w:basedOn w:val="1070"/>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0"/>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1"/>
    <w:next w:val="1273"/>
    <w:link w:val="1070"/>
    <w:qFormat/>
    <w:pPr>
      <w:jc w:val="left"/>
    </w:pPr>
    <w:rPr>
      <w:sz w:val="24"/>
      <w:szCs w:val="24"/>
    </w:rPr>
  </w:style>
  <w:style w:type="paragraph" w:styleId="1274">
    <w:name w:val="正文小标题"/>
    <w:basedOn w:val="1070"/>
    <w:next w:val="1084"/>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4"/>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0"/>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0"/>
    <w:next w:val="1070"/>
    <w:link w:val="1070"/>
    <w:qFormat/>
    <w:pPr>
      <w:numPr>
        <w:ilvl w:val="0"/>
        <w:numId w:val="7"/>
      </w:numPr>
      <w:spacing w:line="300" w:lineRule="auto"/>
    </w:pPr>
    <w:rPr>
      <w:rFonts w:ascii="宋体" w:hAnsi="Calibri"/>
      <w:sz w:val="24"/>
      <w:szCs w:val="21"/>
    </w:rPr>
  </w:style>
  <w:style w:type="paragraph" w:styleId="1281">
    <w:name w:val="正文须知-2级"/>
    <w:basedOn w:val="1070"/>
    <w:next w:val="1281"/>
    <w:link w:val="1070"/>
    <w:qFormat/>
    <w:pPr>
      <w:numPr>
        <w:ilvl w:val="1"/>
        <w:numId w:val="7"/>
      </w:numPr>
      <w:spacing w:line="300" w:lineRule="auto"/>
    </w:pPr>
    <w:rPr>
      <w:rFonts w:ascii="宋体" w:hAnsi="Calibri"/>
      <w:sz w:val="24"/>
      <w:szCs w:val="21"/>
    </w:rPr>
  </w:style>
  <w:style w:type="paragraph" w:styleId="1282">
    <w:name w:val="正文须知-3级"/>
    <w:basedOn w:val="1070"/>
    <w:next w:val="1282"/>
    <w:link w:val="1070"/>
    <w:qFormat/>
    <w:pPr>
      <w:numPr>
        <w:ilvl w:val="2"/>
        <w:numId w:val="7"/>
      </w:numPr>
      <w:ind w:hanging="355"/>
      <w:spacing w:line="300" w:lineRule="auto"/>
    </w:pPr>
    <w:rPr>
      <w:rFonts w:ascii="宋体" w:hAnsi="Calibri"/>
      <w:sz w:val="24"/>
      <w:szCs w:val="21"/>
    </w:rPr>
  </w:style>
  <w:style w:type="character" w:styleId="1283">
    <w:name w:val="纯文本 字符"/>
    <w:next w:val="1283"/>
    <w:link w:val="1070"/>
    <w:uiPriority w:val="99"/>
    <w:qFormat/>
    <w:rPr>
      <w:rFonts w:ascii="宋体" w:hAnsi="Courier New" w:eastAsia="宋体" w:cs="Times New Roman"/>
      <w:sz w:val="21"/>
      <w:szCs w:val="21"/>
      <w:lang w:val="en-US" w:eastAsia="zh-CN" w:bidi="ar-SA"/>
    </w:rPr>
  </w:style>
  <w:style w:type="paragraph" w:styleId="1284">
    <w:name w:val="表格1"/>
    <w:basedOn w:val="1070"/>
    <w:next w:val="1284"/>
    <w:link w:val="1070"/>
    <w:qFormat/>
    <w:pPr>
      <w:ind w:firstLine="480"/>
      <w:jc w:val="center"/>
    </w:pPr>
    <w:rPr>
      <w:sz w:val="24"/>
      <w:szCs w:val="20"/>
    </w:rPr>
  </w:style>
  <w:style w:type="character" w:styleId="1285">
    <w:name w:val="纯文本 字符1"/>
    <w:next w:val="1285"/>
    <w:link w:val="1070"/>
    <w:qFormat/>
    <w:rPr>
      <w:rFonts w:ascii="宋体" w:hAnsi="Courier New"/>
    </w:rPr>
  </w:style>
  <w:style w:type="character" w:styleId="1286">
    <w:name w:val="bjh-p"/>
    <w:next w:val="1286"/>
    <w:link w:val="1070"/>
    <w:qFormat/>
  </w:style>
  <w:style w:type="paragraph" w:styleId="1287">
    <w:name w:val="无标题条"/>
    <w:next w:val="1070"/>
    <w:link w:val="1070"/>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0"/>
    <w:next w:val="1289"/>
    <w:link w:val="1288"/>
    <w:qFormat/>
    <w:pPr>
      <w:ind w:firstLine="480"/>
      <w:spacing w:line="360" w:lineRule="auto"/>
    </w:pPr>
    <w:rPr>
      <w:rFonts w:ascii="宋体" w:hAnsi="宋体"/>
      <w:sz w:val="24"/>
      <w:lang w:val="en-GB"/>
    </w:rPr>
  </w:style>
  <w:style w:type="character" w:styleId="1290">
    <w:name w:val="标题 3 Char"/>
    <w:next w:val="1290"/>
    <w:link w:val="1070"/>
    <w:qFormat/>
    <w:rPr>
      <w:rFonts w:ascii="宋体" w:eastAsia="宋体"/>
      <w:b/>
      <w:sz w:val="24"/>
      <w:u w:val="single"/>
      <w:lang w:val="en-US" w:eastAsia="zh-CN" w:bidi="ar-SA"/>
    </w:rPr>
  </w:style>
  <w:style w:type="character" w:styleId="1291">
    <w:name w:val="正文缩进 Char"/>
    <w:next w:val="1291"/>
    <w:link w:val="1070"/>
    <w:qFormat/>
    <w:rPr>
      <w:rFonts w:ascii="宋体" w:eastAsia="宋体"/>
      <w:sz w:val="24"/>
      <w:szCs w:val="24"/>
      <w:lang w:val="en-US" w:eastAsia="zh-CN" w:bidi="ar-SA"/>
    </w:rPr>
  </w:style>
  <w:style w:type="character" w:styleId="1292">
    <w:name w:val="Char Char111"/>
    <w:next w:val="1292"/>
    <w:link w:val="1070"/>
    <w:qFormat/>
    <w:rPr>
      <w:rFonts w:ascii="宋体" w:eastAsia="宋体"/>
      <w:b/>
      <w:sz w:val="24"/>
      <w:u w:val="single"/>
      <w:lang w:val="en-US" w:eastAsia="zh-CN" w:bidi="ar-SA"/>
    </w:rPr>
  </w:style>
  <w:style w:type="character" w:styleId="1293">
    <w:name w:val="正文文本缩进 Char"/>
    <w:next w:val="1293"/>
    <w:link w:val="1070"/>
    <w:qFormat/>
    <w:rPr>
      <w:rFonts w:eastAsia="宋体"/>
      <w:sz w:val="24"/>
      <w:szCs w:val="24"/>
      <w:lang w:val="en-US" w:eastAsia="zh-CN" w:bidi="ar-SA"/>
    </w:rPr>
  </w:style>
  <w:style w:type="character" w:styleId="1294">
    <w:name w:val="列出段落 Char"/>
    <w:next w:val="1294"/>
    <w:link w:val="1070"/>
    <w:qFormat/>
    <w:rPr>
      <w:rFonts w:ascii="Calibri" w:hAnsi="Calibri" w:eastAsia="宋体"/>
      <w:sz w:val="21"/>
      <w:szCs w:val="22"/>
      <w:lang w:val="en-US" w:eastAsia="zh-CN" w:bidi="ar-SA"/>
    </w:rPr>
  </w:style>
  <w:style w:type="character" w:styleId="1295">
    <w:name w:val="页眉 Char"/>
    <w:next w:val="1295"/>
    <w:link w:val="1070"/>
    <w:qFormat/>
    <w:rPr>
      <w:rFonts w:eastAsia="宋体"/>
      <w:sz w:val="18"/>
      <w:szCs w:val="18"/>
      <w:lang w:val="en-US" w:eastAsia="zh-CN" w:bidi="ar-SA"/>
    </w:rPr>
  </w:style>
  <w:style w:type="paragraph" w:styleId="1296">
    <w:name w:val="字元 字元2"/>
    <w:basedOn w:val="1070"/>
    <w:next w:val="1296"/>
    <w:link w:val="1070"/>
    <w:qFormat/>
    <w:rPr>
      <w:rFonts w:ascii="Tahoma" w:hAnsi="Tahoma"/>
      <w:sz w:val="24"/>
      <w:szCs w:val="20"/>
    </w:rPr>
  </w:style>
  <w:style w:type="paragraph" w:styleId="1297">
    <w:name w:val="Char3 Char Char Char2"/>
    <w:basedOn w:val="1070"/>
    <w:next w:val="1297"/>
    <w:link w:val="1070"/>
    <w:qFormat/>
    <w:rPr>
      <w:rFonts w:ascii="Tahoma" w:hAnsi="Tahoma"/>
      <w:sz w:val="24"/>
      <w:szCs w:val="20"/>
    </w:rPr>
  </w:style>
  <w:style w:type="paragraph" w:styleId="1298">
    <w:name w:val="正文文本缩进2"/>
    <w:basedOn w:val="1070"/>
    <w:next w:val="1298"/>
    <w:link w:val="1070"/>
    <w:qFormat/>
    <w:pPr>
      <w:ind w:firstLine="480"/>
      <w:spacing w:line="480" w:lineRule="exact"/>
    </w:pPr>
    <w:rPr>
      <w:rFonts w:ascii="宋体" w:hAnsi="宋体"/>
      <w:sz w:val="24"/>
      <w:lang w:val="zh-CN" w:eastAsia="zh-CN"/>
    </w:rPr>
  </w:style>
  <w:style w:type="paragraph" w:styleId="1299">
    <w:name w:val="Char3"/>
    <w:basedOn w:val="1070"/>
    <w:next w:val="1299"/>
    <w:link w:val="1070"/>
    <w:qFormat/>
    <w:pPr>
      <w:tabs>
        <w:tab w:val="left" w:pos="360" w:leader="none"/>
      </w:tabs>
    </w:pPr>
    <w:rPr>
      <w:sz w:val="24"/>
    </w:rPr>
  </w:style>
  <w:style w:type="paragraph" w:styleId="1300">
    <w:name w:val="Char Char Char Char Char Char Char Char Char Char Char Char Char Char Char Char1"/>
    <w:basedOn w:val="1070"/>
    <w:next w:val="1300"/>
    <w:link w:val="1070"/>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0"/>
    <w:next w:val="1301"/>
    <w:link w:val="1070"/>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0"/>
    <w:next w:val="1302"/>
    <w:link w:val="1070"/>
    <w:qFormat/>
    <w:pPr>
      <w:ind w:firstLine="420"/>
    </w:pPr>
    <w:rPr>
      <w:rFonts w:ascii="Calibri" w:hAnsi="Calibri"/>
      <w:szCs w:val="22"/>
    </w:rPr>
  </w:style>
  <w:style w:type="paragraph" w:styleId="1303">
    <w:name w:val="Char Char Char1 Char2"/>
    <w:basedOn w:val="1070"/>
    <w:next w:val="1303"/>
    <w:link w:val="1070"/>
    <w:qFormat/>
    <w:rPr>
      <w:rFonts w:ascii="Tahoma" w:hAnsi="Tahoma"/>
      <w:sz w:val="24"/>
      <w:szCs w:val="20"/>
    </w:rPr>
  </w:style>
  <w:style w:type="paragraph" w:styleId="1304">
    <w:name w:val="Char Char Char2"/>
    <w:basedOn w:val="1070"/>
    <w:next w:val="1304"/>
    <w:link w:val="1070"/>
    <w:qFormat/>
    <w:rPr>
      <w:rFonts w:ascii="Tahoma" w:hAnsi="Tahoma"/>
      <w:sz w:val="24"/>
      <w:szCs w:val="20"/>
    </w:rPr>
  </w:style>
  <w:style w:type="paragraph" w:styleId="1305">
    <w:name w:val="Char Char Char Char Char Char Char2"/>
    <w:basedOn w:val="1070"/>
    <w:next w:val="1305"/>
    <w:link w:val="1070"/>
    <w:qFormat/>
    <w:pPr>
      <w:ind w:firstLine="200"/>
      <w:spacing w:line="360" w:lineRule="auto"/>
    </w:pPr>
    <w:rPr>
      <w:rFonts w:eastAsia="仿宋_GB2312"/>
      <w:sz w:val="24"/>
    </w:rPr>
  </w:style>
  <w:style w:type="paragraph" w:styleId="1306">
    <w:name w:val="正文缩进2"/>
    <w:basedOn w:val="1070"/>
    <w:next w:val="1306"/>
    <w:link w:val="1070"/>
    <w:qFormat/>
    <w:pPr>
      <w:ind w:firstLine="567"/>
      <w:spacing w:line="480" w:lineRule="exact"/>
      <w:widowControl/>
    </w:pPr>
    <w:rPr>
      <w:rFonts w:ascii="宋体"/>
      <w:color w:val="000000"/>
      <w:sz w:val="28"/>
      <w:szCs w:val="20"/>
      <w:lang w:val="zh-CN" w:eastAsia="zh-CN"/>
    </w:rPr>
  </w:style>
  <w:style w:type="paragraph" w:styleId="1307">
    <w:name w:val="Revision"/>
    <w:next w:val="1307"/>
    <w:link w:val="1070"/>
    <w:qFormat/>
    <w:rPr>
      <w:sz w:val="21"/>
      <w:szCs w:val="24"/>
      <w:lang w:val="en-US" w:eastAsia="zh-CN" w:bidi="ar-SA"/>
    </w:rPr>
  </w:style>
  <w:style w:type="paragraph" w:styleId="1308">
    <w:name w:val="Char22"/>
    <w:basedOn w:val="1070"/>
    <w:next w:val="1308"/>
    <w:link w:val="1070"/>
    <w:qFormat/>
    <w:rPr>
      <w:rFonts w:ascii="Tahoma" w:hAnsi="Tahoma"/>
      <w:sz w:val="24"/>
      <w:szCs w:val="20"/>
    </w:rPr>
  </w:style>
  <w:style w:type="paragraph" w:styleId="1309">
    <w:name w:val="Char Char Char Char Char Char Char Char Char Char2"/>
    <w:basedOn w:val="1070"/>
    <w:next w:val="1309"/>
    <w:link w:val="1070"/>
    <w:qFormat/>
    <w:rPr>
      <w:rFonts w:ascii="宋体" w:hAnsi="宋体" w:cs="Courier New"/>
      <w:sz w:val="32"/>
      <w:szCs w:val="32"/>
    </w:rPr>
  </w:style>
  <w:style w:type="paragraph" w:styleId="1310">
    <w:name w:val="Char2 Char Char Char Char Char Char1"/>
    <w:basedOn w:val="1070"/>
    <w:next w:val="1310"/>
    <w:link w:val="1070"/>
    <w:qFormat/>
    <w:pPr>
      <w:jc w:val="center"/>
      <w:spacing w:line="400" w:lineRule="exact"/>
      <w:widowControl/>
    </w:pPr>
  </w:style>
  <w:style w:type="character" w:styleId="1311">
    <w:name w:val="页脚 Char"/>
    <w:next w:val="1311"/>
    <w:link w:val="1070"/>
    <w:qFormat/>
    <w:rPr>
      <w:rFonts w:ascii="宋体" w:eastAsia="宋体"/>
      <w:sz w:val="18"/>
      <w:lang w:val="en-US" w:eastAsia="zh-CN" w:bidi="ar-SA"/>
    </w:rPr>
  </w:style>
  <w:style w:type="paragraph" w:styleId="1312">
    <w:name w:val="Char Char41"/>
    <w:basedOn w:val="1070"/>
    <w:next w:val="1312"/>
    <w:link w:val="1070"/>
    <w:qFormat/>
    <w:pPr>
      <w:jc w:val="center"/>
      <w:spacing w:line="400" w:lineRule="exact"/>
      <w:widowControl/>
    </w:pPr>
  </w:style>
  <w:style w:type="character" w:styleId="1313">
    <w:name w:val="批注文字 Char"/>
    <w:next w:val="1313"/>
    <w:link w:val="1070"/>
    <w:uiPriority w:val="99"/>
    <w:qFormat/>
    <w:rPr>
      <w:sz w:val="21"/>
      <w:szCs w:val="24"/>
    </w:rPr>
  </w:style>
  <w:style w:type="character" w:styleId="1314">
    <w:name w:val="标题 Char"/>
    <w:next w:val="1314"/>
    <w:link w:val="1070"/>
    <w:qFormat/>
    <w:rPr>
      <w:b/>
      <w:sz w:val="32"/>
    </w:rPr>
  </w:style>
  <w:style w:type="paragraph" w:styleId="1315">
    <w:name w:val="图例"/>
    <w:basedOn w:val="1070"/>
    <w:next w:val="1315"/>
    <w:link w:val="1070"/>
    <w:qFormat/>
    <w:pPr>
      <w:jc w:val="center"/>
      <w:spacing w:before="120" w:after="120" w:line="360" w:lineRule="auto"/>
    </w:pPr>
    <w:rPr>
      <w:rFonts w:eastAsia="仿宋_GB2312"/>
      <w:b/>
      <w:sz w:val="24"/>
      <w:szCs w:val="20"/>
    </w:rPr>
  </w:style>
  <w:style w:type="table" w:styleId="1316">
    <w:name w:val="Table Normal"/>
    <w:next w:val="1316"/>
    <w:link w:val="1070"/>
    <w:uiPriority w:val="2"/>
    <w:unhideWhenUsed/>
    <w:qFormat/>
    <w:pPr>
      <w:widowControl w:val="off"/>
    </w:pPr>
    <w:rPr>
      <w:rFonts w:ascii="Calibri" w:hAnsi="Calibri"/>
      <w:sz w:val="22"/>
      <w:szCs w:val="22"/>
      <w:lang w:val="en-US" w:eastAsia="en-US" w:bidi="ar-SA"/>
    </w:rPr>
    <w:tblPr/>
  </w:style>
  <w:style w:type="paragraph" w:styleId="1317">
    <w:name w:val="Table Paragraph"/>
    <w:basedOn w:val="1070"/>
    <w:next w:val="1317"/>
    <w:link w:val="1070"/>
    <w:uiPriority w:val="1"/>
    <w:qFormat/>
    <w:pPr>
      <w:jc w:val="left"/>
    </w:pPr>
    <w:rPr>
      <w:rFonts w:ascii="宋体" w:hAnsi="宋体" w:cs="宋体"/>
      <w:sz w:val="22"/>
      <w:szCs w:val="22"/>
      <w:lang w:eastAsia="en-US"/>
    </w:rPr>
  </w:style>
  <w:style w:type="paragraph" w:styleId="1318">
    <w:name w:val="成文日期"/>
    <w:basedOn w:val="1070"/>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0"/>
    <w:uiPriority w:val="99"/>
    <w:unhideWhenUsed/>
    <w:rPr>
      <w:sz w:val="21"/>
      <w:szCs w:val="24"/>
      <w:lang w:val="en-US" w:eastAsia="zh-CN" w:bidi="ar-SA"/>
    </w:rPr>
  </w:style>
  <w:style w:type="character" w:styleId="1321">
    <w:name w:val="正文缩进 字符"/>
    <w:next w:val="1321"/>
    <w:link w:val="1070"/>
    <w:uiPriority w:val="99"/>
    <w:qFormat/>
    <w:rPr>
      <w:rFonts w:ascii="宋体" w:hAnsi="Times New Roman" w:eastAsia="宋体" w:cs="Times New Roman"/>
      <w:sz w:val="24"/>
    </w:rPr>
  </w:style>
  <w:style w:type="character" w:styleId="1322">
    <w:name w:val="正文文本 字符"/>
    <w:next w:val="1322"/>
    <w:link w:val="1070"/>
    <w:qFormat/>
    <w:rPr>
      <w:rFonts w:ascii="宋体" w:hAnsi="宋体"/>
      <w:sz w:val="24"/>
      <w:szCs w:val="24"/>
    </w:rPr>
  </w:style>
  <w:style w:type="paragraph" w:styleId="1323">
    <w:name w:val="纯文本1"/>
    <w:next w:val="1123"/>
    <w:link w:val="1070"/>
    <w:qFormat/>
    <w:pPr>
      <w:jc w:val="both"/>
      <w:widowControl w:val="off"/>
    </w:pPr>
    <w:rPr>
      <w:rFonts w:ascii="宋体" w:hAnsi="宋体"/>
      <w:sz w:val="26"/>
      <w:szCs w:val="24"/>
      <w:lang w:val="en-US" w:eastAsia="zh-CN" w:bidi="ar-SA"/>
    </w:rPr>
  </w:style>
  <w:style w:type="paragraph" w:styleId="1324">
    <w:name w:val="AONormal"/>
    <w:next w:val="1324"/>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正文首行缩进 21"/>
    <w:basedOn w:val="1326"/>
    <w:next w:val="1325"/>
    <w:link w:val="1070"/>
    <w:qFormat/>
    <w:pPr>
      <w:ind w:left="420" w:firstLine="420"/>
      <w:spacing w:after="120" w:line="480" w:lineRule="exact"/>
    </w:pPr>
    <w:rPr>
      <w:szCs w:val="20"/>
    </w:rPr>
  </w:style>
  <w:style w:type="paragraph" w:styleId="1326">
    <w:name w:val="正文文本缩进11"/>
    <w:basedOn w:val="1070"/>
    <w:next w:val="1070"/>
    <w:link w:val="1070"/>
    <w:qFormat/>
    <w:pPr>
      <w:ind w:firstLine="570"/>
      <w:spacing w:line="360" w:lineRule="auto"/>
    </w:pPr>
    <w:rPr>
      <w:sz w:val="24"/>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4</cp:revision>
  <dcterms:created xsi:type="dcterms:W3CDTF">2025-09-05T04:47:00Z</dcterms:created>
  <dcterms:modified xsi:type="dcterms:W3CDTF">2025-11-28T05:12:36Z</dcterms:modified>
</cp:coreProperties>
</file>